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0D" w:rsidRPr="00AD1891" w:rsidRDefault="00321A0D" w:rsidP="000539C7">
      <w:pPr>
        <w:spacing w:after="0"/>
        <w:jc w:val="center"/>
      </w:pPr>
      <w:r w:rsidRPr="00AD1891">
        <w:t>Female Youth Employment Initiative</w:t>
      </w:r>
    </w:p>
    <w:p w:rsidR="00321A0D" w:rsidRPr="00AD1891" w:rsidRDefault="00321A0D" w:rsidP="000539C7">
      <w:pPr>
        <w:spacing w:after="0"/>
        <w:jc w:val="center"/>
        <w:rPr>
          <w:b/>
        </w:rPr>
      </w:pPr>
      <w:r w:rsidRPr="00AD1891">
        <w:rPr>
          <w:b/>
        </w:rPr>
        <w:t>Impact Evaluation Concept Note</w:t>
      </w:r>
    </w:p>
    <w:p w:rsidR="00321A0D" w:rsidRDefault="00BA74FF" w:rsidP="000539C7">
      <w:pPr>
        <w:spacing w:after="0"/>
        <w:jc w:val="center"/>
      </w:pPr>
      <w:r>
        <w:t>October</w:t>
      </w:r>
      <w:r w:rsidR="00321A0D">
        <w:t xml:space="preserve"> 2013</w:t>
      </w:r>
    </w:p>
    <w:p w:rsidR="00321A0D" w:rsidRDefault="001E1939" w:rsidP="000539C7">
      <w:pPr>
        <w:spacing w:after="0"/>
        <w:jc w:val="center"/>
      </w:pPr>
      <w:proofErr w:type="spellStart"/>
      <w:r>
        <w:t>Shubha</w:t>
      </w:r>
      <w:proofErr w:type="spellEnd"/>
      <w:r>
        <w:t xml:space="preserve"> </w:t>
      </w:r>
      <w:proofErr w:type="spellStart"/>
      <w:r>
        <w:t>Chakravarty</w:t>
      </w:r>
      <w:proofErr w:type="spellEnd"/>
      <w:r w:rsidR="001A478C">
        <w:t xml:space="preserve"> and </w:t>
      </w:r>
      <w:proofErr w:type="spellStart"/>
      <w:r w:rsidR="001A478C">
        <w:t>Mattias</w:t>
      </w:r>
      <w:proofErr w:type="spellEnd"/>
      <w:r w:rsidR="001A478C">
        <w:t xml:space="preserve"> Lundberg</w:t>
      </w:r>
    </w:p>
    <w:p w:rsidR="00321A0D" w:rsidRDefault="00321A0D" w:rsidP="000539C7">
      <w:pPr>
        <w:spacing w:after="0"/>
      </w:pPr>
    </w:p>
    <w:p w:rsidR="00321A0D" w:rsidRDefault="00321A0D" w:rsidP="000539C7">
      <w:pPr>
        <w:spacing w:after="0"/>
      </w:pPr>
    </w:p>
    <w:p w:rsidR="004F7764" w:rsidRPr="0089533C" w:rsidRDefault="004F7764" w:rsidP="000539C7">
      <w:pPr>
        <w:spacing w:after="0"/>
        <w:jc w:val="both"/>
        <w:rPr>
          <w:b/>
        </w:rPr>
      </w:pPr>
      <w:r w:rsidRPr="0089533C">
        <w:rPr>
          <w:b/>
        </w:rPr>
        <w:t>Introduction</w:t>
      </w:r>
    </w:p>
    <w:p w:rsidR="00F3110B" w:rsidRDefault="004F7764" w:rsidP="000539C7">
      <w:pPr>
        <w:spacing w:after="0"/>
        <w:jc w:val="both"/>
      </w:pPr>
      <w:r>
        <w:t>The Female Youth Employment Initiative (FYEI)</w:t>
      </w:r>
      <w:r w:rsidR="002C7EAA" w:rsidRPr="002C75E5">
        <w:t xml:space="preserve"> is part of a Bank-led Adolescent Girls Initiative (AGI) to promote the economic empowerment of young women in </w:t>
      </w:r>
      <w:r>
        <w:t>eight</w:t>
      </w:r>
      <w:r w:rsidR="002C7EAA" w:rsidRPr="002C75E5">
        <w:t xml:space="preserve"> countries (Afghanist</w:t>
      </w:r>
      <w:r>
        <w:t xml:space="preserve">an, Liberia, Nepal, Rwanda, </w:t>
      </w:r>
      <w:r w:rsidR="002C7EAA" w:rsidRPr="002C75E5">
        <w:t>South Sudan</w:t>
      </w:r>
      <w:r>
        <w:t>, Haiti, Jordan, and Laos</w:t>
      </w:r>
      <w:r w:rsidR="002C7EAA" w:rsidRPr="002C75E5">
        <w:t xml:space="preserve">). </w:t>
      </w:r>
      <w:r>
        <w:t>Each AGI project</w:t>
      </w:r>
      <w:r w:rsidRPr="004F7764">
        <w:t xml:space="preserve"> offer</w:t>
      </w:r>
      <w:r>
        <w:t>s</w:t>
      </w:r>
      <w:r w:rsidRPr="004F7764">
        <w:t xml:space="preserve"> skills training and complementary services to facilitate young women’s transition to productive work. These programs are seen as pilots in which to experiment with innovative approaches, measure the results, and provide quantitative evidence for possible scaling-up of similar interventions in the future. </w:t>
      </w:r>
      <w:r w:rsidR="00447F00">
        <w:t>In addition, the evaluations of the AGI pilots will contribute to a nascent</w:t>
      </w:r>
      <w:r w:rsidR="00447F00" w:rsidRPr="004F7764">
        <w:t xml:space="preserve"> </w:t>
      </w:r>
      <w:r w:rsidR="00447F00">
        <w:t xml:space="preserve">evidence base on job training programs in developing countries. </w:t>
      </w:r>
      <w:r w:rsidR="00447F00" w:rsidRPr="004F7764">
        <w:t xml:space="preserve"> </w:t>
      </w:r>
      <w:r w:rsidR="00ED0DF6">
        <w:t>To date, the evidence on skills training programs for youth in developing countries has focused on a handful of government-led programs in Latin America which showed relatively small impacts</w:t>
      </w:r>
      <w:r w:rsidR="0081010E">
        <w:t xml:space="preserve"> on employment and earnings (</w:t>
      </w:r>
      <w:r w:rsidR="000B32C6">
        <w:t>IADB 2009</w:t>
      </w:r>
      <w:r w:rsidR="0081010E">
        <w:t>)</w:t>
      </w:r>
      <w:r w:rsidR="00ED0DF6">
        <w:t xml:space="preserve">. Recently, new evidence has </w:t>
      </w:r>
      <w:r w:rsidR="00D57BBB">
        <w:t>emerged from programs in Africa. Skills training programs focused on women in Uganda (</w:t>
      </w:r>
      <w:proofErr w:type="spellStart"/>
      <w:r w:rsidR="00D57BBB">
        <w:t>Bandiera</w:t>
      </w:r>
      <w:proofErr w:type="spellEnd"/>
      <w:r w:rsidR="00D57BBB">
        <w:t xml:space="preserve"> 2012) and Liberia (</w:t>
      </w:r>
      <w:proofErr w:type="spellStart"/>
      <w:r w:rsidR="00D57BBB">
        <w:t>Adoho</w:t>
      </w:r>
      <w:proofErr w:type="spellEnd"/>
      <w:r w:rsidR="00D57BBB">
        <w:t xml:space="preserve"> 2013) have shown very positive impacts on employment from ranging from 30% to 50%. A skills training program for male and female youth in Uganda also showed a 50% increase in employment and enterprise profits (</w:t>
      </w:r>
      <w:proofErr w:type="spellStart"/>
      <w:r w:rsidR="00D57BBB">
        <w:t>Blattman</w:t>
      </w:r>
      <w:proofErr w:type="spellEnd"/>
      <w:r w:rsidR="00D57BBB">
        <w:t xml:space="preserve"> 2011). A skills training program in Malawi, however, showed no short-run labor market impacts for men or women (Cho 2013). </w:t>
      </w:r>
      <w:r w:rsidR="00C74844">
        <w:t xml:space="preserve">Several </w:t>
      </w:r>
      <w:r w:rsidR="00F3110B">
        <w:t xml:space="preserve">impact evaluations </w:t>
      </w:r>
      <w:r w:rsidR="00C74844">
        <w:t xml:space="preserve">of youth skills training programs </w:t>
      </w:r>
      <w:r w:rsidR="00F3110B">
        <w:t>are ongoing in various South Asian countries, although results are not yet available.</w:t>
      </w:r>
    </w:p>
    <w:p w:rsidR="00F3110B" w:rsidRDefault="00F3110B" w:rsidP="000539C7">
      <w:pPr>
        <w:spacing w:after="0"/>
        <w:jc w:val="both"/>
      </w:pPr>
    </w:p>
    <w:p w:rsidR="00F3110B" w:rsidRDefault="00583B8D" w:rsidP="000539C7">
      <w:pPr>
        <w:spacing w:after="0"/>
        <w:jc w:val="both"/>
      </w:pPr>
      <w:r>
        <w:t>Notwithstanding the lack of</w:t>
      </w:r>
      <w:r w:rsidR="00F3110B">
        <w:t xml:space="preserve"> </w:t>
      </w:r>
      <w:r>
        <w:t>evidence</w:t>
      </w:r>
      <w:r w:rsidR="00F3110B">
        <w:t xml:space="preserve"> for job training programs in particular, the larger realm of women’s </w:t>
      </w:r>
      <w:r w:rsidR="00F24EBE">
        <w:t xml:space="preserve">economic </w:t>
      </w:r>
      <w:r w:rsidR="00F3110B">
        <w:t xml:space="preserve">empowerment in South Asia has a </w:t>
      </w:r>
      <w:r w:rsidR="00F24EBE">
        <w:t>well-developed literature</w:t>
      </w:r>
      <w:r w:rsidR="00F3110B">
        <w:t xml:space="preserve"> </w:t>
      </w:r>
      <w:r w:rsidR="00F24EBE">
        <w:t>and</w:t>
      </w:r>
      <w:r w:rsidR="00F3110B">
        <w:t xml:space="preserve"> a fair amount </w:t>
      </w:r>
      <w:r w:rsidR="00F24EBE">
        <w:t xml:space="preserve">of robust evidence from development interventions. The most heavily studied class </w:t>
      </w:r>
      <w:r w:rsidR="00B70E19">
        <w:t>of interventions is microfinance</w:t>
      </w:r>
      <w:r w:rsidR="00F24EBE">
        <w:t xml:space="preserve">. From the seminal early works on </w:t>
      </w:r>
      <w:proofErr w:type="spellStart"/>
      <w:r w:rsidR="00F24EBE">
        <w:t>Grameen</w:t>
      </w:r>
      <w:proofErr w:type="spellEnd"/>
      <w:r w:rsidR="00F24EBE">
        <w:t xml:space="preserve"> Foundation and BRAC (</w:t>
      </w:r>
      <w:proofErr w:type="spellStart"/>
      <w:r w:rsidR="00F24EBE">
        <w:t>Hashemi</w:t>
      </w:r>
      <w:proofErr w:type="spellEnd"/>
      <w:r w:rsidR="00F24EBE">
        <w:t xml:space="preserve"> 1996, Pitt 1998</w:t>
      </w:r>
      <w:r w:rsidR="00346BD0">
        <w:t xml:space="preserve">), </w:t>
      </w:r>
      <w:r w:rsidR="00B70E19">
        <w:t xml:space="preserve">researchers and policymakers have focused on the potential linkages between microfinance and women’s empowerment. </w:t>
      </w:r>
      <w:r w:rsidR="00F24EBE">
        <w:t xml:space="preserve"> </w:t>
      </w:r>
      <w:r w:rsidR="00B70E19">
        <w:t>Despite early promise, recent reviews of the ev</w:t>
      </w:r>
      <w:r w:rsidR="001B5376">
        <w:t>idence on</w:t>
      </w:r>
      <w:r w:rsidR="00B70E19">
        <w:t xml:space="preserve"> microfinance (</w:t>
      </w:r>
      <w:proofErr w:type="spellStart"/>
      <w:r w:rsidR="00B70E19">
        <w:t>Duvendack</w:t>
      </w:r>
      <w:proofErr w:type="spellEnd"/>
      <w:r w:rsidR="00B70E19">
        <w:t xml:space="preserve"> 2011, </w:t>
      </w:r>
      <w:proofErr w:type="spellStart"/>
      <w:r w:rsidR="00C9657D">
        <w:t>Bannerjee</w:t>
      </w:r>
      <w:proofErr w:type="spellEnd"/>
      <w:r w:rsidR="00C9657D">
        <w:t xml:space="preserve"> 2013</w:t>
      </w:r>
      <w:r w:rsidR="00B70E19">
        <w:t xml:space="preserve">) </w:t>
      </w:r>
      <w:r w:rsidR="00FE60DC">
        <w:t xml:space="preserve">have </w:t>
      </w:r>
      <w:r w:rsidR="00630C52">
        <w:t>found</w:t>
      </w:r>
      <w:r w:rsidR="00C9657D">
        <w:t xml:space="preserve"> that to date no rigorous </w:t>
      </w:r>
      <w:r w:rsidR="00630C52">
        <w:t xml:space="preserve">experimental </w:t>
      </w:r>
      <w:r w:rsidR="00C9657D">
        <w:t>study has</w:t>
      </w:r>
      <w:r w:rsidR="00B70E19">
        <w:t xml:space="preserve"> </w:t>
      </w:r>
      <w:r w:rsidR="00630C52">
        <w:t xml:space="preserve">been able to </w:t>
      </w:r>
      <w:r w:rsidR="00B70E19">
        <w:t xml:space="preserve">demonstrate </w:t>
      </w:r>
      <w:r w:rsidR="00C9657D">
        <w:t xml:space="preserve">large </w:t>
      </w:r>
      <w:r w:rsidR="00B70E19">
        <w:t>positive effects of microfinance</w:t>
      </w:r>
      <w:r w:rsidR="001B5376">
        <w:t xml:space="preserve"> on either economic outcomes or women’s empowerment. </w:t>
      </w:r>
      <w:r w:rsidR="00990D59">
        <w:t>Other types of interventions have had more success. A recent study on a community-level empowerment program in North India, for example, showed strong impacts on labor force participation, physical mobility, and political participation (</w:t>
      </w:r>
      <w:proofErr w:type="spellStart"/>
      <w:r w:rsidR="00990D59">
        <w:t>Kandpal</w:t>
      </w:r>
      <w:proofErr w:type="spellEnd"/>
      <w:r w:rsidR="00990D59">
        <w:t xml:space="preserve"> 2013). </w:t>
      </w:r>
      <w:r w:rsidR="00C74844">
        <w:t>An assessment of BRAC’s Adolescent Development Program in Bangladesh showed positive impacts various dimensions of empowerment for young women, including decision-making, leadership, and attitudes toward early marriage and dowry (</w:t>
      </w:r>
      <w:proofErr w:type="spellStart"/>
      <w:r w:rsidR="00C74844">
        <w:t>Kabir</w:t>
      </w:r>
      <w:proofErr w:type="spellEnd"/>
      <w:r w:rsidR="00C74844">
        <w:t xml:space="preserve"> 2007). </w:t>
      </w:r>
      <w:r w:rsidR="009F568D">
        <w:t xml:space="preserve">Another study in India found that increased access to labor market opportunities changed the preferences and behaviors of young women with regard to marriage and fertility (Jensen 2012). </w:t>
      </w:r>
      <w:r w:rsidR="00C74844">
        <w:t>However, i</w:t>
      </w:r>
      <w:r w:rsidR="00346BD0">
        <w:t xml:space="preserve">nterventions </w:t>
      </w:r>
      <w:r w:rsidR="00990D59">
        <w:t xml:space="preserve">to promote female entrepreneurship </w:t>
      </w:r>
      <w:r w:rsidR="00346BD0">
        <w:t xml:space="preserve">through basic business training (Field 2010) or infusions of capital (de Mel 2009), </w:t>
      </w:r>
      <w:r w:rsidR="00990D59">
        <w:t>have found</w:t>
      </w:r>
      <w:r w:rsidR="00346BD0">
        <w:t xml:space="preserve"> that non-economic </w:t>
      </w:r>
      <w:r w:rsidR="00346BD0">
        <w:lastRenderedPageBreak/>
        <w:t xml:space="preserve">constraints, such as traditional norms or lack </w:t>
      </w:r>
      <w:r w:rsidR="00990D59">
        <w:t xml:space="preserve">of decision-making power within households, limit the success of these programs. </w:t>
      </w:r>
    </w:p>
    <w:p w:rsidR="00F3110B" w:rsidRDefault="00F3110B" w:rsidP="000539C7">
      <w:pPr>
        <w:spacing w:after="0"/>
        <w:jc w:val="both"/>
      </w:pPr>
    </w:p>
    <w:p w:rsidR="00032683" w:rsidRDefault="00630C52" w:rsidP="000539C7">
      <w:pPr>
        <w:spacing w:after="0"/>
        <w:jc w:val="both"/>
      </w:pPr>
      <w:r>
        <w:t>In the unique context o</w:t>
      </w:r>
      <w:r w:rsidR="007775B3">
        <w:t xml:space="preserve">f Afghanistan, evidence </w:t>
      </w:r>
      <w:r w:rsidR="00C74844">
        <w:t xml:space="preserve">on </w:t>
      </w:r>
      <w:r w:rsidR="007775B3">
        <w:t xml:space="preserve">the effectiveness of women’s empowerment or job training programs is quite scarce, although there is no shortage of NGO programs to empower poor women through vocational training. </w:t>
      </w:r>
      <w:r w:rsidR="00684138">
        <w:t xml:space="preserve">A recent study funded by UN Women, however, </w:t>
      </w:r>
      <w:proofErr w:type="spellStart"/>
      <w:r w:rsidR="00684138">
        <w:t>docuemnts</w:t>
      </w:r>
      <w:proofErr w:type="spellEnd"/>
      <w:r w:rsidR="00684138">
        <w:t xml:space="preserve"> the despite the huge strides the country has made since 2002, women’s economic participation remains low and focused on activities with low productivity (Ganesh 2013). </w:t>
      </w:r>
      <w:r w:rsidR="007775B3">
        <w:t xml:space="preserve">The Government’s flagship social protection program, the National Solidarity Program (NSP), which supports communities to develop and implement their own development projects through inclusive locally-led processes, included a women’s empowerment component. The impact evaluation of the NSP </w:t>
      </w:r>
      <w:r w:rsidR="009F568D">
        <w:t xml:space="preserve">found that mandated female participation in the selection and governance of community projects improved women’s mobility and participation in income-generating activities, but did not </w:t>
      </w:r>
      <w:r w:rsidR="00032683">
        <w:t>change</w:t>
      </w:r>
      <w:r w:rsidR="009F568D">
        <w:t xml:space="preserve"> </w:t>
      </w:r>
      <w:r w:rsidR="00032683">
        <w:t xml:space="preserve">decision-making power within the household or views about women in society </w:t>
      </w:r>
      <w:r w:rsidR="009F568D">
        <w:t>(</w:t>
      </w:r>
      <w:proofErr w:type="spellStart"/>
      <w:r w:rsidR="009F568D">
        <w:t>Beath</w:t>
      </w:r>
      <w:proofErr w:type="spellEnd"/>
      <w:r w:rsidR="009F568D">
        <w:t xml:space="preserve"> 201</w:t>
      </w:r>
      <w:r w:rsidR="00C37CAF">
        <w:t>2</w:t>
      </w:r>
      <w:r w:rsidR="009F568D">
        <w:t xml:space="preserve">). </w:t>
      </w:r>
      <w:r w:rsidR="00C44338">
        <w:t>Another recent randomized evaluation examined the impact of school provision in order to test whether the supply of education alone was sufficient to improve school enrollment in Afghan villages (</w:t>
      </w:r>
      <w:proofErr w:type="spellStart"/>
      <w:r w:rsidR="00C44338">
        <w:t>Burde</w:t>
      </w:r>
      <w:proofErr w:type="spellEnd"/>
      <w:r w:rsidR="00C44338">
        <w:t xml:space="preserve"> 2013). Despite fears that cultural constraints might limit the demand for education, the program led to a significant increase in enrolment and performance for all children, and the gains were larger for girls. </w:t>
      </w:r>
    </w:p>
    <w:p w:rsidR="004F7764" w:rsidRDefault="004F7764" w:rsidP="000539C7">
      <w:pPr>
        <w:spacing w:after="0"/>
        <w:jc w:val="both"/>
      </w:pPr>
    </w:p>
    <w:p w:rsidR="00AD1891" w:rsidRPr="00AD1891" w:rsidRDefault="00AD1891" w:rsidP="000539C7">
      <w:pPr>
        <w:spacing w:after="0"/>
        <w:jc w:val="both"/>
        <w:rPr>
          <w:b/>
        </w:rPr>
      </w:pPr>
      <w:r w:rsidRPr="00AD1891">
        <w:rPr>
          <w:b/>
        </w:rPr>
        <w:t>Project Design</w:t>
      </w:r>
    </w:p>
    <w:p w:rsidR="002D6A55" w:rsidRPr="002D6A55" w:rsidRDefault="00032683" w:rsidP="000539C7">
      <w:pPr>
        <w:spacing w:after="0"/>
        <w:jc w:val="both"/>
      </w:pPr>
      <w:r>
        <w:t xml:space="preserve">The FYEI project was designed as a pilot to test whether skills training could serve as a viable means to promote female employment in a uniquely challenging environment. </w:t>
      </w:r>
      <w:r w:rsidR="004F7764">
        <w:t>After a protracted preparation period, the FYEI project was launched on January 31, 2012 at the Ministry of Education in Kabul. The project has four components: (</w:t>
      </w:r>
      <w:proofErr w:type="spellStart"/>
      <w:r w:rsidR="004F7764">
        <w:t>i</w:t>
      </w:r>
      <w:proofErr w:type="spellEnd"/>
      <w:r w:rsidR="004F7764">
        <w:t xml:space="preserve">) social mobilization through school management </w:t>
      </w:r>
      <w:proofErr w:type="spellStart"/>
      <w:r w:rsidR="004F7764">
        <w:t>shuras</w:t>
      </w:r>
      <w:proofErr w:type="spellEnd"/>
      <w:r w:rsidR="004F7764">
        <w:t xml:space="preserve"> (SMS) to raise community awareness of the importance of female training and employment and social marketing to identify employment and business opportunities for young women</w:t>
      </w:r>
      <w:r w:rsidR="002B1BB6">
        <w:rPr>
          <w:rStyle w:val="FootnoteReference"/>
        </w:rPr>
        <w:footnoteReference w:id="1"/>
      </w:r>
      <w:r w:rsidR="004F7764">
        <w:t xml:space="preserve">; (ii) skills training and follow-up support provided through competitively selected training institutions or NGOs; (iii) institutional strengthening and implementation support to the Ministry of Education; and (iv) a rigorous impact evaluation to identify the causal effects of the program on its beneficiaries. </w:t>
      </w:r>
      <w:r w:rsidR="0089533C">
        <w:t xml:space="preserve">The impact evaluation will focus on the second component (skills training). The skills training program aims to reach approximately 1300 beneficiaries </w:t>
      </w:r>
      <w:r w:rsidR="002227DA">
        <w:t>during the project</w:t>
      </w:r>
      <w:r w:rsidR="0089533C">
        <w:t xml:space="preserve"> period</w:t>
      </w:r>
      <w:r w:rsidR="00970760">
        <w:t xml:space="preserve"> and</w:t>
      </w:r>
      <w:r w:rsidR="0089533C">
        <w:t xml:space="preserve"> targets young women aged 18-30 who have completed secondary school in one of four districts of Balkh province: Balkh, </w:t>
      </w:r>
      <w:proofErr w:type="spellStart"/>
      <w:r w:rsidR="0089533C">
        <w:t>Sholgara</w:t>
      </w:r>
      <w:proofErr w:type="spellEnd"/>
      <w:r w:rsidR="0089533C">
        <w:t xml:space="preserve">, </w:t>
      </w:r>
      <w:proofErr w:type="spellStart"/>
      <w:r w:rsidR="0089533C">
        <w:t>Dehdadi</w:t>
      </w:r>
      <w:proofErr w:type="spellEnd"/>
      <w:r w:rsidR="0089533C">
        <w:t xml:space="preserve">, and the provincial capital city of </w:t>
      </w:r>
      <w:proofErr w:type="spellStart"/>
      <w:r w:rsidR="0089533C">
        <w:t>Mazar</w:t>
      </w:r>
      <w:proofErr w:type="spellEnd"/>
      <w:r w:rsidR="0089533C">
        <w:t>-</w:t>
      </w:r>
      <w:proofErr w:type="spellStart"/>
      <w:r w:rsidR="0089533C">
        <w:t>i</w:t>
      </w:r>
      <w:proofErr w:type="spellEnd"/>
      <w:r w:rsidR="0089533C">
        <w:t>-Sharif. The program wil</w:t>
      </w:r>
      <w:r w:rsidR="006A16C3">
        <w:t>l emphasize technical skills for selected vocational areas</w:t>
      </w:r>
      <w:r w:rsidR="006A16C3">
        <w:rPr>
          <w:rStyle w:val="FootnoteReference"/>
        </w:rPr>
        <w:footnoteReference w:id="2"/>
      </w:r>
      <w:r w:rsidR="006A16C3">
        <w:t xml:space="preserve"> </w:t>
      </w:r>
      <w:r w:rsidR="0089533C">
        <w:t xml:space="preserve">as well as life skills, including </w:t>
      </w:r>
      <w:r w:rsidR="006A16C3">
        <w:t xml:space="preserve">communication, workplace professionalism, </w:t>
      </w:r>
      <w:r w:rsidR="002D6A55">
        <w:t xml:space="preserve">savings and personal financial management, </w:t>
      </w:r>
      <w:r w:rsidR="002B1BB6">
        <w:t xml:space="preserve">leadership, </w:t>
      </w:r>
      <w:r w:rsidR="00E01729">
        <w:t xml:space="preserve">and decision-making. During project preparation, </w:t>
      </w:r>
      <w:r w:rsidR="002D6A55">
        <w:t>malnutrition was</w:t>
      </w:r>
      <w:r w:rsidR="002D6A55">
        <w:rPr>
          <w:rFonts w:cs="Times New Roman"/>
          <w:color w:val="000000"/>
        </w:rPr>
        <w:t xml:space="preserve"> identified as one of the priority issues for the life skills training and the program is collaborating with the Bank-</w:t>
      </w:r>
      <w:r w:rsidR="002D6A55">
        <w:rPr>
          <w:rFonts w:cs="Times New Roman"/>
          <w:color w:val="000000"/>
        </w:rPr>
        <w:lastRenderedPageBreak/>
        <w:t xml:space="preserve">supported </w:t>
      </w:r>
      <w:r w:rsidR="002D6A55">
        <w:t xml:space="preserve">South Asia Food and Nutrition Security Initiative (SAFANSI) to develop </w:t>
      </w:r>
      <w:r w:rsidR="001A6BF6">
        <w:t xml:space="preserve">and deliver </w:t>
      </w:r>
      <w:r w:rsidR="002D6A55">
        <w:rPr>
          <w:rFonts w:cs="Times New Roman"/>
          <w:color w:val="000000"/>
        </w:rPr>
        <w:t xml:space="preserve">a nutrition education module. </w:t>
      </w:r>
      <w:r w:rsidR="002B1BB6">
        <w:t xml:space="preserve"> </w:t>
      </w:r>
      <w:r>
        <w:t xml:space="preserve">The importance of nutrition education is underscored by a recent paper documenting the negative impact of food price shocks on </w:t>
      </w:r>
      <w:r w:rsidR="00416E36">
        <w:t xml:space="preserve">food consumption and </w:t>
      </w:r>
      <w:r>
        <w:t xml:space="preserve">dietary diversity in Afghan households (Joliffe 2010). </w:t>
      </w:r>
      <w:r w:rsidR="002D6A55">
        <w:t>The technical and life skills trainings will be delivered</w:t>
      </w:r>
      <w:r w:rsidR="007115D3">
        <w:t xml:space="preserve"> concurrently by non-governmental</w:t>
      </w:r>
      <w:r w:rsidR="002D6A55">
        <w:t xml:space="preserve"> providers in training centers located in each district. The number of training </w:t>
      </w:r>
      <w:r w:rsidR="007115D3">
        <w:t>centers</w:t>
      </w:r>
      <w:r w:rsidR="002D6A55">
        <w:t xml:space="preserve"> and the allocation of participants to each </w:t>
      </w:r>
      <w:r w:rsidR="00FF4610">
        <w:t>center</w:t>
      </w:r>
      <w:r w:rsidR="002D6A55">
        <w:t xml:space="preserve"> will be determined in collaboration with the training providers and based on the findings of the social marketing survey. </w:t>
      </w:r>
    </w:p>
    <w:p w:rsidR="002C7EAA" w:rsidRDefault="002C7EAA" w:rsidP="000539C7">
      <w:pPr>
        <w:spacing w:after="0"/>
        <w:jc w:val="both"/>
        <w:rPr>
          <w:b/>
        </w:rPr>
      </w:pPr>
    </w:p>
    <w:p w:rsidR="0089533C" w:rsidRPr="002C75E5" w:rsidRDefault="0089533C" w:rsidP="000539C7">
      <w:pPr>
        <w:spacing w:after="0"/>
        <w:jc w:val="both"/>
        <w:rPr>
          <w:b/>
        </w:rPr>
      </w:pPr>
      <w:r>
        <w:rPr>
          <w:b/>
        </w:rPr>
        <w:t>Evaluation</w:t>
      </w:r>
      <w:r w:rsidR="00DB5522">
        <w:rPr>
          <w:b/>
        </w:rPr>
        <w:t xml:space="preserve"> Design</w:t>
      </w:r>
    </w:p>
    <w:p w:rsidR="002C7EAA" w:rsidRDefault="00F77FCE" w:rsidP="000539C7">
      <w:pPr>
        <w:spacing w:after="0"/>
        <w:jc w:val="both"/>
      </w:pPr>
      <w:r>
        <w:t xml:space="preserve">Given the dearth of experimental evidence on development programs in Afghanistan, the current study is poised to make an important contribution to our knowledge about female employment in Afghanistan as well as the efficacy of job training programs in conflict-affected and culturally conservative contexts. </w:t>
      </w:r>
      <w:r w:rsidR="002C7EAA" w:rsidRPr="002C75E5">
        <w:t xml:space="preserve">To facilitate the examination of the </w:t>
      </w:r>
      <w:r w:rsidR="00E01729">
        <w:t xml:space="preserve">FYEI </w:t>
      </w:r>
      <w:r w:rsidR="002C7EAA" w:rsidRPr="002C75E5">
        <w:t xml:space="preserve">project's impacts, </w:t>
      </w:r>
      <w:r w:rsidR="00DB5522">
        <w:t>a rigorous and independent</w:t>
      </w:r>
      <w:r w:rsidR="002C7EAA" w:rsidRPr="002C75E5">
        <w:t xml:space="preserve"> impact evaluation </w:t>
      </w:r>
      <w:r w:rsidR="00E01729">
        <w:t>was built into the project design from the outset</w:t>
      </w:r>
      <w:r w:rsidR="002C7EAA" w:rsidRPr="002C75E5">
        <w:t>.</w:t>
      </w:r>
      <w:r w:rsidR="00E01729">
        <w:rPr>
          <w:rStyle w:val="FootnoteReference"/>
        </w:rPr>
        <w:footnoteReference w:id="3"/>
      </w:r>
      <w:r w:rsidR="00E01729">
        <w:t xml:space="preserve">  This </w:t>
      </w:r>
      <w:r w:rsidR="002C7EAA" w:rsidRPr="002C75E5">
        <w:t xml:space="preserve">impact evaluation </w:t>
      </w:r>
      <w:r w:rsidR="00E01729">
        <w:t xml:space="preserve">has been designed in close coordination with the FYEI project staff in the Ministry of Education </w:t>
      </w:r>
      <w:r w:rsidR="002C7EAA" w:rsidRPr="002C75E5">
        <w:t>to ensure that the evaluation is conducted in a</w:t>
      </w:r>
      <w:r w:rsidR="0089533C">
        <w:t>n</w:t>
      </w:r>
      <w:r w:rsidR="002C7EAA" w:rsidRPr="002C75E5">
        <w:t xml:space="preserve"> ethically responsible and culturally acceptable manner. The objective of the impact evaluation is to measure changes in the outcomes of beneficiaries that can be attributed causally to the project interventions. To this end,</w:t>
      </w:r>
      <w:r w:rsidR="00DB5522">
        <w:t xml:space="preserve"> the impact evaluation will employ a </w:t>
      </w:r>
      <w:r w:rsidR="00DB5522" w:rsidRPr="00DB5522">
        <w:rPr>
          <w:b/>
        </w:rPr>
        <w:t>randomized controlled trial (RCT)</w:t>
      </w:r>
      <w:r w:rsidR="00DB5522">
        <w:t xml:space="preserve"> methodology to </w:t>
      </w:r>
      <w:r w:rsidR="00E01729">
        <w:t xml:space="preserve">compare the outcomes of </w:t>
      </w:r>
      <w:r w:rsidR="00DB5522">
        <w:t>project participants (the “treatment group”) with</w:t>
      </w:r>
      <w:r w:rsidR="002C7EAA" w:rsidRPr="002C75E5">
        <w:t xml:space="preserve"> a</w:t>
      </w:r>
      <w:r w:rsidR="00E01729">
        <w:t xml:space="preserve"> control group of eligible young women</w:t>
      </w:r>
      <w:r w:rsidR="002C7EAA" w:rsidRPr="002C75E5">
        <w:t xml:space="preserve"> who applied, but were not selected, for the project. To ensure comparability between the participants and non-participants, beneficiaries will be </w:t>
      </w:r>
      <w:r w:rsidR="002C7EAA" w:rsidRPr="00DB5522">
        <w:t>selected randomly from the pool of eligible young women who express interest in the program</w:t>
      </w:r>
      <w:r w:rsidR="00E01729" w:rsidRPr="00DB5522">
        <w:t>, using a lottery process</w:t>
      </w:r>
      <w:r w:rsidR="002C7EAA" w:rsidRPr="00DB5522">
        <w:t xml:space="preserve">. </w:t>
      </w:r>
      <w:r w:rsidR="00DB5522">
        <w:t>Randomized evaluations have</w:t>
      </w:r>
      <w:r w:rsidR="002C7EAA" w:rsidRPr="002C75E5">
        <w:t xml:space="preserve"> been used successfully in other projects in Afghanistan</w:t>
      </w:r>
      <w:r w:rsidR="00E01729">
        <w:t>, most notably the government</w:t>
      </w:r>
      <w:r>
        <w:t>’</w:t>
      </w:r>
      <w:r w:rsidR="00E01729">
        <w:t>s National Solidarity Program (NSP),</w:t>
      </w:r>
      <w:r w:rsidR="002C7EAA" w:rsidRPr="002C75E5">
        <w:t xml:space="preserve"> and will ensure that the project's learning objectives can be met. </w:t>
      </w:r>
      <w:r w:rsidR="00DB5522">
        <w:t>The rigorous evidence produced by this impact evaluation will feed into active policy dialogues within Afghanistan and globally on</w:t>
      </w:r>
      <w:r w:rsidR="00AD1891">
        <w:t xml:space="preserve"> the most effective methods to </w:t>
      </w:r>
      <w:r w:rsidR="00DB5522">
        <w:t xml:space="preserve">equip young women to succeed in the labor market. </w:t>
      </w:r>
    </w:p>
    <w:p w:rsidR="00E01729" w:rsidRDefault="00E01729" w:rsidP="000539C7">
      <w:pPr>
        <w:spacing w:after="0"/>
        <w:jc w:val="both"/>
      </w:pPr>
    </w:p>
    <w:p w:rsidR="00E01729" w:rsidRDefault="00970760" w:rsidP="000539C7">
      <w:pPr>
        <w:spacing w:after="0"/>
        <w:jc w:val="both"/>
        <w:rPr>
          <w:b/>
        </w:rPr>
      </w:pPr>
      <w:r>
        <w:rPr>
          <w:b/>
        </w:rPr>
        <w:t>Selection of Beneficiaries</w:t>
      </w:r>
    </w:p>
    <w:p w:rsidR="00970760" w:rsidRDefault="00DB5522" w:rsidP="000539C7">
      <w:pPr>
        <w:spacing w:after="0"/>
        <w:jc w:val="both"/>
      </w:pPr>
      <w:r>
        <w:t xml:space="preserve">The application of the RCT methodology for this impact evaluation requires </w:t>
      </w:r>
      <w:r w:rsidR="00AD1891">
        <w:t xml:space="preserve">a sizeable applicant pool from which to construct treatment and control groups. </w:t>
      </w:r>
      <w:r w:rsidR="000B32C6">
        <w:t xml:space="preserve">The first step is to solicit applications from potential beneficiaries and screen them to determine eligibility. From the pool of applicants deemed eligible, participants for the program are randomly drawn, with the remainder assigned to the control group. For the FYEI, an intensive social mobilization campaign was conducted in 2012 by the project’s social mobilization team in conjunction with school management </w:t>
      </w:r>
      <w:proofErr w:type="spellStart"/>
      <w:r w:rsidR="000B32C6">
        <w:t>shuras</w:t>
      </w:r>
      <w:proofErr w:type="spellEnd"/>
      <w:r w:rsidR="000B32C6">
        <w:t xml:space="preserve"> from </w:t>
      </w:r>
      <w:r w:rsidR="00872B67">
        <w:t xml:space="preserve">61 </w:t>
      </w:r>
      <w:r w:rsidR="000B32C6">
        <w:t>secondary schools across the four project district</w:t>
      </w:r>
      <w:r w:rsidR="00872B67">
        <w:t>s</w:t>
      </w:r>
      <w:r w:rsidR="000B32C6">
        <w:t xml:space="preserve">. This campaign resulted in a total of 2,822 applications which met all eligibility criteria (age, education, and residency). Figures 1 and 2 show the distribution of these 2,822 applicants </w:t>
      </w:r>
      <w:r w:rsidR="0026388E">
        <w:t>by district and age</w:t>
      </w:r>
      <w:r w:rsidR="000B32C6">
        <w:t xml:space="preserve">. </w:t>
      </w:r>
    </w:p>
    <w:p w:rsidR="002227DA" w:rsidRDefault="00646AF5" w:rsidP="000539C7">
      <w:pPr>
        <w:spacing w:after="0"/>
        <w:jc w:val="both"/>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0;margin-top:-4.5pt;width:492pt;height:216.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">
            <v:textbox>
              <w:txbxContent>
                <w:p w:rsidR="00717888" w:rsidRDefault="00717888">
                  <w:pPr>
                    <w:rPr>
                      <w:b/>
                      <w:noProof/>
                    </w:rPr>
                  </w:pPr>
                  <w:r>
                    <w:rPr>
                      <w:b/>
                    </w:rPr>
                    <w:t xml:space="preserve">Figure 1. </w:t>
                  </w:r>
                  <w:r w:rsidR="00BA74FF">
                    <w:rPr>
                      <w:b/>
                    </w:rPr>
                    <w:t>Distribution of</w:t>
                  </w:r>
                  <w:r>
                    <w:rPr>
                      <w:b/>
                    </w:rPr>
                    <w:t xml:space="preserve"> FYEI Applicants</w:t>
                  </w:r>
                  <w:r w:rsidR="00BA74FF">
                    <w:rPr>
                      <w:b/>
                    </w:rPr>
                    <w:t xml:space="preserve"> by District</w:t>
                  </w:r>
                  <w:r w:rsidR="002227DA">
                    <w:rPr>
                      <w:b/>
                    </w:rPr>
                    <w:t xml:space="preserve"> and Age</w:t>
                  </w:r>
                </w:p>
                <w:p w:rsidR="00717888" w:rsidRPr="00717888" w:rsidRDefault="00717888">
                  <w:pPr>
                    <w:rPr>
                      <w:b/>
                    </w:rPr>
                  </w:pPr>
                  <w:r>
                    <w:rPr>
                      <w:noProof/>
                    </w:rPr>
                    <w:drawing>
                      <wp:inline distT="0" distB="0" distL="0" distR="0">
                        <wp:extent cx="3019425" cy="19335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227DA">
                    <w:rPr>
                      <w:noProof/>
                    </w:rPr>
                    <w:drawing>
                      <wp:inline distT="0" distB="0" distL="0" distR="0">
                        <wp:extent cx="2971800" cy="2228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type="square"/>
          </v:shape>
        </w:pict>
      </w:r>
    </w:p>
    <w:p w:rsidR="000B32C6" w:rsidRPr="00DB5522" w:rsidRDefault="002227DA" w:rsidP="000539C7">
      <w:pPr>
        <w:spacing w:after="0"/>
        <w:jc w:val="both"/>
      </w:pPr>
      <w:r>
        <w:t xml:space="preserve">The FYEI program aims to reach 1300 beneficiaries, all of whom will enroll and participate in the program concurrently. </w:t>
      </w:r>
      <w:r w:rsidR="00B61846">
        <w:t>The selection of these 1300 beneficiaries will be stratified</w:t>
      </w:r>
      <w:r>
        <w:t xml:space="preserve"> across the five project districts according to the market demand in each district, which itself will be informed by the project’s social marketing survey. Once the final allocation of beneficiaries across districts is determined, a random assignment (using </w:t>
      </w:r>
      <w:proofErr w:type="spellStart"/>
      <w:r>
        <w:t>Stata</w:t>
      </w:r>
      <w:proofErr w:type="spellEnd"/>
      <w:r>
        <w:t xml:space="preserve">) will be conducted to select 1300 project beneficiaries as well as up to 300 “waitlist” candidates from the pool of 2822 eligible applicants. All applicants will be informed by the project team of the final outcome of their applications and those selected will be offered a chance to enroll in the course of their choice. If some of the courses are oversubscribed, applicants will be offered their second choice. </w:t>
      </w:r>
    </w:p>
    <w:p w:rsidR="00970760" w:rsidRDefault="00970760" w:rsidP="000539C7">
      <w:pPr>
        <w:spacing w:after="0"/>
        <w:jc w:val="both"/>
        <w:rPr>
          <w:b/>
        </w:rPr>
      </w:pPr>
    </w:p>
    <w:p w:rsidR="00E01729" w:rsidRPr="002C75E5" w:rsidRDefault="00E01729" w:rsidP="000539C7">
      <w:pPr>
        <w:spacing w:after="0"/>
        <w:jc w:val="both"/>
        <w:rPr>
          <w:b/>
        </w:rPr>
      </w:pPr>
      <w:r>
        <w:rPr>
          <w:b/>
        </w:rPr>
        <w:t>Outcomes</w:t>
      </w:r>
    </w:p>
    <w:p w:rsidR="000539C7" w:rsidRDefault="000539C7" w:rsidP="000539C7">
      <w:pPr>
        <w:spacing w:after="0"/>
        <w:jc w:val="both"/>
      </w:pPr>
      <w:r w:rsidRPr="002C75E5">
        <w:t xml:space="preserve">Because of the project's unique focus on empowering young women with both technical and life skills, the evaluation will seek to measure outcomes related not only to labor and income, but also to social outcomes, including mobility, marriage and fertility preferences, self-confidence, and family relationships. In this way, the project will contribute country-specific knowledge on the effectiveness of programs to empower young women both economically and socially. </w:t>
      </w:r>
      <w:r>
        <w:t xml:space="preserve">The main evaluation questions are: </w:t>
      </w:r>
    </w:p>
    <w:p w:rsidR="0042429A" w:rsidRPr="000539C7" w:rsidRDefault="001A478C" w:rsidP="000539C7">
      <w:pPr>
        <w:numPr>
          <w:ilvl w:val="0"/>
          <w:numId w:val="4"/>
        </w:numPr>
        <w:spacing w:after="0"/>
        <w:jc w:val="both"/>
      </w:pPr>
      <w:r w:rsidRPr="000539C7">
        <w:t xml:space="preserve">Does the </w:t>
      </w:r>
      <w:r w:rsidR="000539C7">
        <w:t xml:space="preserve">FYEI </w:t>
      </w:r>
      <w:r w:rsidRPr="000539C7">
        <w:t xml:space="preserve">program improve the </w:t>
      </w:r>
      <w:r w:rsidRPr="000539C7">
        <w:rPr>
          <w:b/>
          <w:bCs/>
        </w:rPr>
        <w:t xml:space="preserve">economic well-being </w:t>
      </w:r>
      <w:r w:rsidRPr="000539C7">
        <w:t>of young women who participate? What is the impact on employment, earnings, investment, savings, borrowing, and lending?</w:t>
      </w:r>
    </w:p>
    <w:p w:rsidR="0042429A" w:rsidRPr="000539C7" w:rsidRDefault="001A478C" w:rsidP="000539C7">
      <w:pPr>
        <w:numPr>
          <w:ilvl w:val="0"/>
          <w:numId w:val="4"/>
        </w:numPr>
        <w:spacing w:after="0"/>
        <w:jc w:val="both"/>
      </w:pPr>
      <w:r w:rsidRPr="000539C7">
        <w:t>Does the</w:t>
      </w:r>
      <w:r w:rsidR="000539C7">
        <w:t xml:space="preserve"> FYEI</w:t>
      </w:r>
      <w:r w:rsidRPr="000539C7">
        <w:t xml:space="preserve"> program promote the </w:t>
      </w:r>
      <w:r w:rsidRPr="000539C7">
        <w:rPr>
          <w:b/>
          <w:bCs/>
        </w:rPr>
        <w:t>empowerment</w:t>
      </w:r>
      <w:r w:rsidRPr="000539C7">
        <w:t xml:space="preserve"> of participants, as measured by proxies such as self-confidence, fertility </w:t>
      </w:r>
      <w:r w:rsidR="000539C7">
        <w:t>preferences</w:t>
      </w:r>
      <w:r w:rsidRPr="000539C7">
        <w:t>, dependency on others, and control over household resources?</w:t>
      </w:r>
    </w:p>
    <w:p w:rsidR="0042429A" w:rsidRPr="000539C7" w:rsidRDefault="001A478C" w:rsidP="000539C7">
      <w:pPr>
        <w:numPr>
          <w:ilvl w:val="0"/>
          <w:numId w:val="4"/>
        </w:numPr>
        <w:spacing w:after="0"/>
        <w:jc w:val="both"/>
      </w:pPr>
      <w:r w:rsidRPr="000539C7">
        <w:t xml:space="preserve">Are there </w:t>
      </w:r>
      <w:r w:rsidRPr="000539C7">
        <w:rPr>
          <w:b/>
          <w:bCs/>
        </w:rPr>
        <w:t xml:space="preserve">spillover effects </w:t>
      </w:r>
      <w:r w:rsidRPr="000539C7">
        <w:t>on the family members of participants?</w:t>
      </w:r>
    </w:p>
    <w:p w:rsidR="000539C7" w:rsidRDefault="000539C7" w:rsidP="000539C7">
      <w:pPr>
        <w:spacing w:after="0"/>
        <w:jc w:val="both"/>
      </w:pPr>
    </w:p>
    <w:p w:rsidR="000539C7" w:rsidRPr="002C75E5" w:rsidRDefault="002C7EAA" w:rsidP="000539C7">
      <w:pPr>
        <w:spacing w:after="0"/>
        <w:jc w:val="both"/>
        <w:rPr>
          <w:b/>
        </w:rPr>
      </w:pPr>
      <w:r w:rsidRPr="002C75E5">
        <w:t xml:space="preserve">The measurement of outcomes is expected to involve at least two rounds of household survey data collection, at baseline and </w:t>
      </w:r>
      <w:proofErr w:type="spellStart"/>
      <w:r w:rsidRPr="002C75E5">
        <w:t>endline</w:t>
      </w:r>
      <w:proofErr w:type="spellEnd"/>
      <w:r w:rsidRPr="002C75E5">
        <w:t xml:space="preserve">, to be </w:t>
      </w:r>
      <w:r w:rsidR="00AD1891">
        <w:t>conducted</w:t>
      </w:r>
      <w:r w:rsidRPr="002C75E5">
        <w:t xml:space="preserve"> by an independently contracted survey firm. </w:t>
      </w:r>
      <w:r w:rsidR="000539C7">
        <w:t xml:space="preserve">The baseline survey will be conducted after all applications have been screened but before the random selection of program beneficiaries. Both the female applicant and the head of her household will be </w:t>
      </w:r>
      <w:r w:rsidR="000539C7">
        <w:lastRenderedPageBreak/>
        <w:t xml:space="preserve">interviewed, and the applicant will be unaware of whether she has been selected for the program at the time of the baseline interview. The </w:t>
      </w:r>
      <w:proofErr w:type="spellStart"/>
      <w:r w:rsidR="000539C7">
        <w:t>endline</w:t>
      </w:r>
      <w:proofErr w:type="spellEnd"/>
      <w:r w:rsidR="000539C7">
        <w:t xml:space="preserve"> interview will be conducted after the completion of the program (both the classroom training period and the follow-up/ placement period). Because of the tight project deadline associated with the FYEI project and the overall Adolescent Girls Initiative, no longer term follow-up is planned at this point. </w:t>
      </w:r>
    </w:p>
    <w:p w:rsidR="002C7EAA" w:rsidRDefault="002C7EAA" w:rsidP="00321A0D">
      <w:pPr>
        <w:spacing w:after="0"/>
      </w:pPr>
    </w:p>
    <w:p w:rsidR="009E604D" w:rsidRPr="00CD0C69" w:rsidRDefault="009E604D" w:rsidP="00D76CDE">
      <w:pPr>
        <w:spacing w:after="0"/>
        <w:jc w:val="both"/>
        <w:rPr>
          <w:b/>
        </w:rPr>
      </w:pPr>
      <w:r w:rsidRPr="00CD0C69">
        <w:rPr>
          <w:b/>
        </w:rPr>
        <w:t>Indicators</w:t>
      </w:r>
    </w:p>
    <w:p w:rsidR="009E604D" w:rsidRDefault="009E604D" w:rsidP="00D76CDE">
      <w:pPr>
        <w:spacing w:after="0"/>
        <w:jc w:val="both"/>
      </w:pPr>
      <w:r>
        <w:t xml:space="preserve">Examination of each of the research questions above will involve the measurement of a variety of indicators, both quantitative and qualitative. Many of the indicators are subjective, with no straightforward or simple question that can measure it precisely. For these indicators, a battery of questions will be used to elucidate a more comprehensive and holistic measure of the indicator in question. For example, the indicator on “empowerment” is measured by posing a series of statements regarding self-confidence, mobility, and decision-making and requesting the respondent to state the degree with which they feel the statement applies to them. </w:t>
      </w:r>
    </w:p>
    <w:p w:rsidR="009E604D" w:rsidRDefault="009E604D" w:rsidP="00D76CDE">
      <w:pPr>
        <w:spacing w:after="0"/>
        <w:jc w:val="both"/>
      </w:pPr>
    </w:p>
    <w:p w:rsidR="009E604D" w:rsidRDefault="009E604D" w:rsidP="00D76CDE">
      <w:pPr>
        <w:spacing w:after="0"/>
        <w:jc w:val="both"/>
      </w:pPr>
      <w:r>
        <w:t>The annex to this concept note includes a full list of the outcome indicators to be tracked in this impact evaluation, along with</w:t>
      </w:r>
      <w:r w:rsidR="000D014B">
        <w:t xml:space="preserve"> the baseline survey instruments which include the specific questions used to measure each indicator</w:t>
      </w:r>
      <w:r>
        <w:t xml:space="preserve">. </w:t>
      </w:r>
    </w:p>
    <w:p w:rsidR="009E604D" w:rsidRDefault="009E604D" w:rsidP="00D76CDE">
      <w:pPr>
        <w:spacing w:after="0"/>
        <w:jc w:val="both"/>
      </w:pPr>
    </w:p>
    <w:p w:rsidR="009E604D" w:rsidRPr="00CB3420" w:rsidRDefault="009E604D" w:rsidP="00D76CDE">
      <w:pPr>
        <w:spacing w:after="0"/>
        <w:jc w:val="both"/>
        <w:rPr>
          <w:b/>
        </w:rPr>
      </w:pPr>
      <w:r w:rsidRPr="00CB3420">
        <w:rPr>
          <w:b/>
        </w:rPr>
        <w:t>Sample Size</w:t>
      </w:r>
    </w:p>
    <w:p w:rsidR="00321A0D" w:rsidRDefault="00EF66D8" w:rsidP="00D76CDE">
      <w:pPr>
        <w:spacing w:after="0"/>
        <w:jc w:val="both"/>
      </w:pPr>
      <w:r>
        <w:t xml:space="preserve">Power </w:t>
      </w:r>
      <w:r w:rsidR="009E604D">
        <w:t>calculations have been performed to determine the appropriate sample size for this impact evaluation.</w:t>
      </w:r>
      <w:r w:rsidR="006C3C02">
        <w:t xml:space="preserve"> The calculations assumed a </w:t>
      </w:r>
      <w:r w:rsidR="006C3C02" w:rsidRPr="006C3C02">
        <w:t xml:space="preserve">baseline employment rate of 43%, the employment rate found for women aged 16 to 30 in Balkh province using data from the 2007 </w:t>
      </w:r>
      <w:r w:rsidR="006C3C02" w:rsidRPr="006C3C02">
        <w:rPr>
          <w:rStyle w:val="st"/>
          <w:rFonts w:cs="Arial"/>
          <w:color w:val="222222"/>
        </w:rPr>
        <w:t xml:space="preserve">National Risk and Vulnerability Assessment </w:t>
      </w:r>
      <w:r w:rsidR="006C3C02" w:rsidRPr="006C3C02">
        <w:t>survey conducted by the Government of Afghanistan.</w:t>
      </w:r>
      <w:r w:rsidR="006C3C02">
        <w:t xml:space="preserve">  </w:t>
      </w:r>
      <w:r w:rsidR="008A5654">
        <w:t xml:space="preserve">This is the broadest definition of employment, including farm work and unpaid work in household enterprises. </w:t>
      </w:r>
      <w:r w:rsidR="004B0F01">
        <w:t xml:space="preserve">The calculations were done </w:t>
      </w:r>
      <w:r w:rsidR="004F098D">
        <w:t>using the “</w:t>
      </w:r>
      <w:proofErr w:type="spellStart"/>
      <w:r w:rsidR="004F098D">
        <w:t>sampsi</w:t>
      </w:r>
      <w:proofErr w:type="spellEnd"/>
      <w:r w:rsidR="004F098D">
        <w:t xml:space="preserve">” command in </w:t>
      </w:r>
      <w:proofErr w:type="spellStart"/>
      <w:r w:rsidR="004F098D">
        <w:t>Stata</w:t>
      </w:r>
      <w:proofErr w:type="spellEnd"/>
      <w:r w:rsidR="004F098D">
        <w:t xml:space="preserve">. The Table below </w:t>
      </w:r>
      <w:r w:rsidR="00905910">
        <w:t>lists the corresponding statistical power for three study samples (n=1500, 2000, or 2600)</w:t>
      </w:r>
      <w:r w:rsidR="004F098D">
        <w:t xml:space="preserve"> to detect </w:t>
      </w:r>
      <w:r w:rsidR="005C27DC">
        <w:t xml:space="preserve">various effect sizes </w:t>
      </w:r>
      <w:r w:rsidR="00905910">
        <w:t xml:space="preserve">(12%, 15% or 20%) </w:t>
      </w:r>
      <w:r w:rsidR="005C27DC">
        <w:t>on the employment rate</w:t>
      </w:r>
      <w:r w:rsidR="004B0F01">
        <w:t xml:space="preserve">. </w:t>
      </w:r>
    </w:p>
    <w:p w:rsidR="00514EF6" w:rsidRDefault="00514EF6" w:rsidP="00D76CDE">
      <w:pPr>
        <w:spacing w:after="0"/>
        <w:jc w:val="both"/>
      </w:pPr>
    </w:p>
    <w:p w:rsidR="00905910" w:rsidRDefault="00905910" w:rsidP="00D76CDE">
      <w:pPr>
        <w:spacing w:after="0"/>
        <w:jc w:val="both"/>
      </w:pPr>
      <w:r>
        <w:t>Table 1. Power Calculations for various sample sizes and effect sizes</w:t>
      </w:r>
    </w:p>
    <w:tbl>
      <w:tblPr>
        <w:tblStyle w:val="TableGrid"/>
        <w:tblW w:w="0" w:type="auto"/>
        <w:tblLook w:val="04A0"/>
      </w:tblPr>
      <w:tblGrid>
        <w:gridCol w:w="1458"/>
        <w:gridCol w:w="1530"/>
        <w:gridCol w:w="1350"/>
        <w:gridCol w:w="1170"/>
        <w:gridCol w:w="1080"/>
      </w:tblGrid>
      <w:tr w:rsidR="004F098D" w:rsidTr="00905910">
        <w:tc>
          <w:tcPr>
            <w:tcW w:w="1458" w:type="dxa"/>
          </w:tcPr>
          <w:p w:rsidR="004F098D" w:rsidRDefault="004F098D" w:rsidP="00D76CDE">
            <w:pPr>
              <w:jc w:val="both"/>
            </w:pPr>
            <w:r>
              <w:t>Baseline Employment rate</w:t>
            </w:r>
          </w:p>
        </w:tc>
        <w:tc>
          <w:tcPr>
            <w:tcW w:w="1530" w:type="dxa"/>
          </w:tcPr>
          <w:p w:rsidR="004F098D" w:rsidRDefault="004F098D" w:rsidP="00905910">
            <w:r>
              <w:t xml:space="preserve">Size of treatment group (n1) </w:t>
            </w:r>
          </w:p>
        </w:tc>
        <w:tc>
          <w:tcPr>
            <w:tcW w:w="1350" w:type="dxa"/>
          </w:tcPr>
          <w:p w:rsidR="004F098D" w:rsidRDefault="004F098D" w:rsidP="00905910">
            <w:r>
              <w:t>Size of control group (n2)</w:t>
            </w:r>
          </w:p>
        </w:tc>
        <w:tc>
          <w:tcPr>
            <w:tcW w:w="1170" w:type="dxa"/>
          </w:tcPr>
          <w:p w:rsidR="004F098D" w:rsidRDefault="004F098D" w:rsidP="00D76CDE">
            <w:pPr>
              <w:jc w:val="both"/>
            </w:pPr>
            <w:r>
              <w:t>Effect Size</w:t>
            </w:r>
          </w:p>
        </w:tc>
        <w:tc>
          <w:tcPr>
            <w:tcW w:w="1080" w:type="dxa"/>
          </w:tcPr>
          <w:p w:rsidR="004F098D" w:rsidRDefault="004F098D" w:rsidP="00D76CDE">
            <w:pPr>
              <w:jc w:val="both"/>
            </w:pPr>
            <w:r>
              <w:t>Power</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750</w:t>
            </w:r>
          </w:p>
        </w:tc>
        <w:tc>
          <w:tcPr>
            <w:tcW w:w="1350" w:type="dxa"/>
          </w:tcPr>
          <w:p w:rsidR="005C27DC" w:rsidRDefault="005C27DC" w:rsidP="00E144C6">
            <w:pPr>
              <w:jc w:val="both"/>
            </w:pPr>
            <w:r>
              <w:t>750</w:t>
            </w:r>
          </w:p>
        </w:tc>
        <w:tc>
          <w:tcPr>
            <w:tcW w:w="1170" w:type="dxa"/>
          </w:tcPr>
          <w:p w:rsidR="005C27DC" w:rsidRDefault="005C27DC" w:rsidP="00D76CDE">
            <w:pPr>
              <w:jc w:val="both"/>
            </w:pPr>
            <w:r>
              <w:t>20%</w:t>
            </w:r>
          </w:p>
        </w:tc>
        <w:tc>
          <w:tcPr>
            <w:tcW w:w="1080" w:type="dxa"/>
          </w:tcPr>
          <w:p w:rsidR="005C27DC" w:rsidRDefault="005C27DC" w:rsidP="00D76CDE">
            <w:pPr>
              <w:jc w:val="both"/>
            </w:pPr>
            <w:r>
              <w:t>0.9109</w:t>
            </w:r>
          </w:p>
        </w:tc>
      </w:tr>
      <w:tr w:rsidR="005C27DC" w:rsidTr="00905910">
        <w:tc>
          <w:tcPr>
            <w:tcW w:w="1458" w:type="dxa"/>
            <w:shd w:val="clear" w:color="auto" w:fill="auto"/>
          </w:tcPr>
          <w:p w:rsidR="005C27DC" w:rsidRDefault="005C27DC" w:rsidP="00E144C6">
            <w:pPr>
              <w:jc w:val="both"/>
            </w:pPr>
            <w:r>
              <w:t>.43</w:t>
            </w:r>
          </w:p>
        </w:tc>
        <w:tc>
          <w:tcPr>
            <w:tcW w:w="1530" w:type="dxa"/>
            <w:shd w:val="clear" w:color="auto" w:fill="auto"/>
          </w:tcPr>
          <w:p w:rsidR="005C27DC" w:rsidRDefault="005C27DC" w:rsidP="00E144C6">
            <w:pPr>
              <w:jc w:val="both"/>
            </w:pPr>
            <w:r>
              <w:t>750</w:t>
            </w:r>
          </w:p>
        </w:tc>
        <w:tc>
          <w:tcPr>
            <w:tcW w:w="1350" w:type="dxa"/>
            <w:shd w:val="clear" w:color="auto" w:fill="auto"/>
          </w:tcPr>
          <w:p w:rsidR="005C27DC" w:rsidRDefault="005C27DC" w:rsidP="00E144C6">
            <w:pPr>
              <w:jc w:val="both"/>
            </w:pPr>
            <w:r>
              <w:t>750</w:t>
            </w:r>
          </w:p>
        </w:tc>
        <w:tc>
          <w:tcPr>
            <w:tcW w:w="1170" w:type="dxa"/>
            <w:shd w:val="clear" w:color="auto" w:fill="auto"/>
          </w:tcPr>
          <w:p w:rsidR="005C27DC" w:rsidRDefault="005C27DC" w:rsidP="00E144C6">
            <w:pPr>
              <w:jc w:val="both"/>
            </w:pPr>
            <w:r>
              <w:t>15%</w:t>
            </w:r>
          </w:p>
        </w:tc>
        <w:tc>
          <w:tcPr>
            <w:tcW w:w="1080" w:type="dxa"/>
            <w:shd w:val="clear" w:color="auto" w:fill="auto"/>
          </w:tcPr>
          <w:p w:rsidR="005C27DC" w:rsidRDefault="005C27DC" w:rsidP="00E144C6">
            <w:pPr>
              <w:jc w:val="both"/>
            </w:pPr>
            <w:r>
              <w:t>0.6972</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750</w:t>
            </w:r>
          </w:p>
        </w:tc>
        <w:tc>
          <w:tcPr>
            <w:tcW w:w="1350" w:type="dxa"/>
          </w:tcPr>
          <w:p w:rsidR="005C27DC" w:rsidRDefault="005C27DC" w:rsidP="00E144C6">
            <w:pPr>
              <w:jc w:val="both"/>
            </w:pPr>
            <w:r>
              <w:t>750</w:t>
            </w:r>
          </w:p>
        </w:tc>
        <w:tc>
          <w:tcPr>
            <w:tcW w:w="1170" w:type="dxa"/>
          </w:tcPr>
          <w:p w:rsidR="005C27DC" w:rsidRDefault="005C27DC" w:rsidP="00D76CDE">
            <w:pPr>
              <w:jc w:val="both"/>
            </w:pPr>
            <w:r>
              <w:t>12%</w:t>
            </w:r>
          </w:p>
        </w:tc>
        <w:tc>
          <w:tcPr>
            <w:tcW w:w="1080" w:type="dxa"/>
          </w:tcPr>
          <w:p w:rsidR="005C27DC" w:rsidRDefault="005C27DC" w:rsidP="00D76CDE">
            <w:pPr>
              <w:jc w:val="both"/>
            </w:pPr>
            <w:r>
              <w:t>0.5050</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1000</w:t>
            </w:r>
          </w:p>
        </w:tc>
        <w:tc>
          <w:tcPr>
            <w:tcW w:w="1350" w:type="dxa"/>
          </w:tcPr>
          <w:p w:rsidR="005C27DC" w:rsidRDefault="005C27DC" w:rsidP="00E144C6">
            <w:pPr>
              <w:jc w:val="both"/>
            </w:pPr>
            <w:r>
              <w:t>1000</w:t>
            </w:r>
          </w:p>
        </w:tc>
        <w:tc>
          <w:tcPr>
            <w:tcW w:w="1170" w:type="dxa"/>
          </w:tcPr>
          <w:p w:rsidR="005C27DC" w:rsidRDefault="005C27DC" w:rsidP="00E144C6">
            <w:pPr>
              <w:jc w:val="both"/>
            </w:pPr>
            <w:r>
              <w:t>20%</w:t>
            </w:r>
          </w:p>
        </w:tc>
        <w:tc>
          <w:tcPr>
            <w:tcW w:w="1080" w:type="dxa"/>
          </w:tcPr>
          <w:p w:rsidR="005C27DC" w:rsidRDefault="005C27DC" w:rsidP="00E144C6">
            <w:pPr>
              <w:jc w:val="both"/>
            </w:pPr>
            <w:r>
              <w:t>0.9705</w:t>
            </w:r>
          </w:p>
        </w:tc>
      </w:tr>
      <w:tr w:rsidR="005C27DC" w:rsidTr="00905910">
        <w:tc>
          <w:tcPr>
            <w:tcW w:w="1458" w:type="dxa"/>
            <w:shd w:val="clear" w:color="auto" w:fill="FFFF00"/>
          </w:tcPr>
          <w:p w:rsidR="005C27DC" w:rsidRDefault="005C27DC" w:rsidP="00E144C6">
            <w:pPr>
              <w:jc w:val="both"/>
            </w:pPr>
            <w:r>
              <w:t>.43</w:t>
            </w:r>
          </w:p>
        </w:tc>
        <w:tc>
          <w:tcPr>
            <w:tcW w:w="1530" w:type="dxa"/>
            <w:shd w:val="clear" w:color="auto" w:fill="FFFF00"/>
          </w:tcPr>
          <w:p w:rsidR="005C27DC" w:rsidRDefault="005C27DC" w:rsidP="00E144C6">
            <w:pPr>
              <w:jc w:val="both"/>
            </w:pPr>
            <w:r>
              <w:t>1000</w:t>
            </w:r>
          </w:p>
        </w:tc>
        <w:tc>
          <w:tcPr>
            <w:tcW w:w="1350" w:type="dxa"/>
            <w:shd w:val="clear" w:color="auto" w:fill="FFFF00"/>
          </w:tcPr>
          <w:p w:rsidR="005C27DC" w:rsidRDefault="005C27DC" w:rsidP="00E144C6">
            <w:pPr>
              <w:jc w:val="both"/>
            </w:pPr>
            <w:r>
              <w:t>1000</w:t>
            </w:r>
          </w:p>
        </w:tc>
        <w:tc>
          <w:tcPr>
            <w:tcW w:w="1170" w:type="dxa"/>
            <w:shd w:val="clear" w:color="auto" w:fill="FFFF00"/>
          </w:tcPr>
          <w:p w:rsidR="005C27DC" w:rsidRDefault="005C27DC" w:rsidP="00E144C6">
            <w:pPr>
              <w:jc w:val="both"/>
            </w:pPr>
            <w:r>
              <w:t>15%</w:t>
            </w:r>
          </w:p>
        </w:tc>
        <w:tc>
          <w:tcPr>
            <w:tcW w:w="1080" w:type="dxa"/>
            <w:shd w:val="clear" w:color="auto" w:fill="FFFF00"/>
          </w:tcPr>
          <w:p w:rsidR="005C27DC" w:rsidRDefault="005C27DC" w:rsidP="00E144C6">
            <w:pPr>
              <w:jc w:val="both"/>
            </w:pPr>
            <w:r>
              <w:t>0.8199</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1000</w:t>
            </w:r>
          </w:p>
        </w:tc>
        <w:tc>
          <w:tcPr>
            <w:tcW w:w="1350" w:type="dxa"/>
          </w:tcPr>
          <w:p w:rsidR="005C27DC" w:rsidRDefault="005C27DC" w:rsidP="00E144C6">
            <w:pPr>
              <w:jc w:val="both"/>
            </w:pPr>
            <w:r>
              <w:t>1000</w:t>
            </w:r>
          </w:p>
        </w:tc>
        <w:tc>
          <w:tcPr>
            <w:tcW w:w="1170" w:type="dxa"/>
          </w:tcPr>
          <w:p w:rsidR="005C27DC" w:rsidRDefault="005C27DC" w:rsidP="00E144C6">
            <w:pPr>
              <w:jc w:val="both"/>
            </w:pPr>
            <w:r>
              <w:t>12%</w:t>
            </w:r>
          </w:p>
        </w:tc>
        <w:tc>
          <w:tcPr>
            <w:tcW w:w="1080" w:type="dxa"/>
          </w:tcPr>
          <w:p w:rsidR="005C27DC" w:rsidRDefault="005C27DC" w:rsidP="00E144C6">
            <w:pPr>
              <w:jc w:val="both"/>
            </w:pPr>
            <w:r>
              <w:t>0.6305</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1300</w:t>
            </w:r>
          </w:p>
        </w:tc>
        <w:tc>
          <w:tcPr>
            <w:tcW w:w="1350" w:type="dxa"/>
          </w:tcPr>
          <w:p w:rsidR="005C27DC" w:rsidRDefault="005C27DC" w:rsidP="00E144C6">
            <w:pPr>
              <w:jc w:val="both"/>
            </w:pPr>
            <w:r>
              <w:t>1300</w:t>
            </w:r>
          </w:p>
        </w:tc>
        <w:tc>
          <w:tcPr>
            <w:tcW w:w="1170" w:type="dxa"/>
          </w:tcPr>
          <w:p w:rsidR="005C27DC" w:rsidRDefault="005C27DC" w:rsidP="00E144C6">
            <w:pPr>
              <w:jc w:val="both"/>
            </w:pPr>
            <w:r>
              <w:t>20%</w:t>
            </w:r>
          </w:p>
        </w:tc>
        <w:tc>
          <w:tcPr>
            <w:tcW w:w="1080" w:type="dxa"/>
          </w:tcPr>
          <w:p w:rsidR="005C27DC" w:rsidRDefault="005C27DC" w:rsidP="00E144C6">
            <w:pPr>
              <w:jc w:val="both"/>
            </w:pPr>
            <w:r>
              <w:t>0.9927</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1300</w:t>
            </w:r>
          </w:p>
        </w:tc>
        <w:tc>
          <w:tcPr>
            <w:tcW w:w="1350" w:type="dxa"/>
          </w:tcPr>
          <w:p w:rsidR="005C27DC" w:rsidRDefault="005C27DC" w:rsidP="00E144C6">
            <w:pPr>
              <w:jc w:val="both"/>
            </w:pPr>
            <w:r>
              <w:t>1300</w:t>
            </w:r>
          </w:p>
        </w:tc>
        <w:tc>
          <w:tcPr>
            <w:tcW w:w="1170" w:type="dxa"/>
          </w:tcPr>
          <w:p w:rsidR="005C27DC" w:rsidRDefault="005C27DC" w:rsidP="00E144C6">
            <w:pPr>
              <w:jc w:val="both"/>
            </w:pPr>
            <w:r>
              <w:t>15%</w:t>
            </w:r>
          </w:p>
        </w:tc>
        <w:tc>
          <w:tcPr>
            <w:tcW w:w="1080" w:type="dxa"/>
          </w:tcPr>
          <w:p w:rsidR="005C27DC" w:rsidRDefault="005C27DC" w:rsidP="00E144C6">
            <w:pPr>
              <w:jc w:val="both"/>
            </w:pPr>
            <w:r>
              <w:t>0.9083</w:t>
            </w:r>
          </w:p>
        </w:tc>
      </w:tr>
      <w:tr w:rsidR="005C27DC" w:rsidTr="00905910">
        <w:tc>
          <w:tcPr>
            <w:tcW w:w="1458" w:type="dxa"/>
          </w:tcPr>
          <w:p w:rsidR="005C27DC" w:rsidRDefault="005C27DC" w:rsidP="00E144C6">
            <w:pPr>
              <w:jc w:val="both"/>
            </w:pPr>
            <w:r>
              <w:t>.43</w:t>
            </w:r>
          </w:p>
        </w:tc>
        <w:tc>
          <w:tcPr>
            <w:tcW w:w="1530" w:type="dxa"/>
          </w:tcPr>
          <w:p w:rsidR="005C27DC" w:rsidRDefault="005C27DC" w:rsidP="00E144C6">
            <w:pPr>
              <w:jc w:val="both"/>
            </w:pPr>
            <w:r>
              <w:t>1300</w:t>
            </w:r>
          </w:p>
        </w:tc>
        <w:tc>
          <w:tcPr>
            <w:tcW w:w="1350" w:type="dxa"/>
          </w:tcPr>
          <w:p w:rsidR="005C27DC" w:rsidRDefault="005C27DC" w:rsidP="00E144C6">
            <w:pPr>
              <w:jc w:val="both"/>
            </w:pPr>
            <w:r>
              <w:t>1300</w:t>
            </w:r>
          </w:p>
        </w:tc>
        <w:tc>
          <w:tcPr>
            <w:tcW w:w="1170" w:type="dxa"/>
          </w:tcPr>
          <w:p w:rsidR="005C27DC" w:rsidRDefault="005C27DC" w:rsidP="00E144C6">
            <w:pPr>
              <w:jc w:val="both"/>
            </w:pPr>
            <w:r>
              <w:t>12%</w:t>
            </w:r>
          </w:p>
        </w:tc>
        <w:tc>
          <w:tcPr>
            <w:tcW w:w="1080" w:type="dxa"/>
          </w:tcPr>
          <w:p w:rsidR="005C27DC" w:rsidRDefault="005C27DC" w:rsidP="00E144C6">
            <w:pPr>
              <w:jc w:val="both"/>
            </w:pPr>
            <w:r>
              <w:t>0.7475</w:t>
            </w:r>
          </w:p>
        </w:tc>
      </w:tr>
    </w:tbl>
    <w:p w:rsidR="00514EF6" w:rsidRDefault="00514EF6" w:rsidP="00D76CDE">
      <w:pPr>
        <w:spacing w:after="0"/>
        <w:jc w:val="both"/>
      </w:pPr>
    </w:p>
    <w:p w:rsidR="004F098D" w:rsidRDefault="002C29DD" w:rsidP="00D76CDE">
      <w:pPr>
        <w:spacing w:after="0"/>
        <w:jc w:val="both"/>
      </w:pPr>
      <w:r>
        <w:lastRenderedPageBreak/>
        <w:t xml:space="preserve">Given the high cost of collecting survey data in Afghanistan, the proposed sample size for this study is 2000 individuals, with 1000 in the treatment group and 1000 in the control group. </w:t>
      </w:r>
      <w:r w:rsidR="004F098D">
        <w:t xml:space="preserve">The results indicate that a sample of 2000 individuals is sufficient to detect a change of approximately 15% (or 6 percentage points) in the employment rate of the treatment group, relative to the control group. </w:t>
      </w:r>
      <w:r w:rsidR="005C27DC">
        <w:t xml:space="preserve">Even if we increased the sample size to include everyone in the treatment group (1300 each in treatment and control), we still would not have enough power to detect the lesser effect size of 12%. Given the cost savings of reducing the sample size, and the expectation from previous studies that have found effects much larger than 6 percentage points, the proposed size of 2000 individuals should be sufficient. </w:t>
      </w:r>
    </w:p>
    <w:p w:rsidR="00321A0D" w:rsidRDefault="00321A0D" w:rsidP="00321A0D">
      <w:pPr>
        <w:spacing w:after="0"/>
      </w:pPr>
      <w:bookmarkStart w:id="0" w:name="_GoBack"/>
      <w:bookmarkEnd w:id="0"/>
    </w:p>
    <w:p w:rsidR="00A46D27" w:rsidRPr="005C5292" w:rsidRDefault="004416B5" w:rsidP="00A46D27">
      <w:pPr>
        <w:spacing w:after="0"/>
        <w:rPr>
          <w:b/>
        </w:rPr>
      </w:pPr>
      <w:r>
        <w:rPr>
          <w:b/>
        </w:rPr>
        <w:t xml:space="preserve">Estimated </w:t>
      </w:r>
      <w:r w:rsidR="00A46D27" w:rsidRPr="005C5292">
        <w:rPr>
          <w:b/>
        </w:rPr>
        <w:t>Timeline</w:t>
      </w:r>
    </w:p>
    <w:tbl>
      <w:tblPr>
        <w:tblStyle w:val="TableGrid"/>
        <w:tblW w:w="0" w:type="auto"/>
        <w:tblLook w:val="04A0"/>
      </w:tblPr>
      <w:tblGrid>
        <w:gridCol w:w="3798"/>
        <w:gridCol w:w="2160"/>
      </w:tblGrid>
      <w:tr w:rsidR="00D76CDE" w:rsidTr="00A2348C">
        <w:tc>
          <w:tcPr>
            <w:tcW w:w="3798" w:type="dxa"/>
          </w:tcPr>
          <w:p w:rsidR="00D76CDE" w:rsidRDefault="00D76CDE" w:rsidP="00A46D27">
            <w:r>
              <w:t>Baseline Survey</w:t>
            </w:r>
          </w:p>
        </w:tc>
        <w:tc>
          <w:tcPr>
            <w:tcW w:w="2160" w:type="dxa"/>
          </w:tcPr>
          <w:p w:rsidR="00D76CDE" w:rsidRDefault="00D76CDE" w:rsidP="00A46D27">
            <w:r>
              <w:t>Summer/ Fall 2013</w:t>
            </w:r>
          </w:p>
        </w:tc>
      </w:tr>
      <w:tr w:rsidR="00D76CDE" w:rsidTr="00A2348C">
        <w:tc>
          <w:tcPr>
            <w:tcW w:w="3798" w:type="dxa"/>
          </w:tcPr>
          <w:p w:rsidR="00D76CDE" w:rsidRDefault="00D76CDE" w:rsidP="00A46D27">
            <w:r>
              <w:t>Assignment to rounds</w:t>
            </w:r>
          </w:p>
        </w:tc>
        <w:tc>
          <w:tcPr>
            <w:tcW w:w="2160" w:type="dxa"/>
          </w:tcPr>
          <w:p w:rsidR="00D76CDE" w:rsidRDefault="00D76CDE" w:rsidP="00A46D27">
            <w:r>
              <w:t>Fall 2013</w:t>
            </w:r>
          </w:p>
        </w:tc>
      </w:tr>
      <w:tr w:rsidR="00D76CDE" w:rsidTr="00A2348C">
        <w:tc>
          <w:tcPr>
            <w:tcW w:w="3798" w:type="dxa"/>
          </w:tcPr>
          <w:p w:rsidR="00D76CDE" w:rsidRDefault="00D76CDE" w:rsidP="00A46D27">
            <w:r>
              <w:t>Start of training</w:t>
            </w:r>
          </w:p>
        </w:tc>
        <w:tc>
          <w:tcPr>
            <w:tcW w:w="2160" w:type="dxa"/>
          </w:tcPr>
          <w:p w:rsidR="00D76CDE" w:rsidRDefault="00D76CDE" w:rsidP="00A46D27">
            <w:r>
              <w:t>Late 2013</w:t>
            </w:r>
          </w:p>
        </w:tc>
      </w:tr>
      <w:tr w:rsidR="00D76CDE" w:rsidTr="00A2348C">
        <w:tc>
          <w:tcPr>
            <w:tcW w:w="3798" w:type="dxa"/>
          </w:tcPr>
          <w:p w:rsidR="00D76CDE" w:rsidRDefault="00D76CDE" w:rsidP="00A46D27">
            <w:r>
              <w:t>Completion of  FYEI project</w:t>
            </w:r>
          </w:p>
        </w:tc>
        <w:tc>
          <w:tcPr>
            <w:tcW w:w="2160" w:type="dxa"/>
          </w:tcPr>
          <w:p w:rsidR="00D76CDE" w:rsidRDefault="00D76CDE" w:rsidP="00A46D27">
            <w:r>
              <w:t>December 2014</w:t>
            </w:r>
          </w:p>
        </w:tc>
      </w:tr>
      <w:tr w:rsidR="00D76CDE" w:rsidTr="00A2348C">
        <w:tc>
          <w:tcPr>
            <w:tcW w:w="3798" w:type="dxa"/>
          </w:tcPr>
          <w:p w:rsidR="00D76CDE" w:rsidRDefault="00D76CDE" w:rsidP="00A46D27">
            <w:proofErr w:type="spellStart"/>
            <w:r>
              <w:t>Endline</w:t>
            </w:r>
            <w:proofErr w:type="spellEnd"/>
            <w:r>
              <w:t xml:space="preserve"> Survey</w:t>
            </w:r>
          </w:p>
        </w:tc>
        <w:tc>
          <w:tcPr>
            <w:tcW w:w="2160" w:type="dxa"/>
          </w:tcPr>
          <w:p w:rsidR="00D76CDE" w:rsidRDefault="00D76CDE" w:rsidP="00A46D27">
            <w:r>
              <w:t>Jan 2015</w:t>
            </w:r>
          </w:p>
        </w:tc>
      </w:tr>
      <w:tr w:rsidR="00D76CDE" w:rsidTr="00A2348C">
        <w:tc>
          <w:tcPr>
            <w:tcW w:w="3798" w:type="dxa"/>
          </w:tcPr>
          <w:p w:rsidR="00D76CDE" w:rsidRDefault="00D76CDE" w:rsidP="00A46D27">
            <w:r>
              <w:t>Data cleaning</w:t>
            </w:r>
          </w:p>
        </w:tc>
        <w:tc>
          <w:tcPr>
            <w:tcW w:w="2160" w:type="dxa"/>
          </w:tcPr>
          <w:p w:rsidR="00D76CDE" w:rsidRDefault="00D76CDE" w:rsidP="00A46D27">
            <w:r>
              <w:t>Feb-April 2015</w:t>
            </w:r>
          </w:p>
        </w:tc>
      </w:tr>
      <w:tr w:rsidR="00D76CDE" w:rsidTr="00A2348C">
        <w:tc>
          <w:tcPr>
            <w:tcW w:w="3798" w:type="dxa"/>
          </w:tcPr>
          <w:p w:rsidR="00D76CDE" w:rsidRDefault="00D76CDE" w:rsidP="00A46D27">
            <w:r>
              <w:t>Analysis/ Report Writing</w:t>
            </w:r>
          </w:p>
        </w:tc>
        <w:tc>
          <w:tcPr>
            <w:tcW w:w="2160" w:type="dxa"/>
          </w:tcPr>
          <w:p w:rsidR="00D76CDE" w:rsidRDefault="00D76CDE" w:rsidP="00A46D27">
            <w:r>
              <w:t>April-December 2015</w:t>
            </w:r>
          </w:p>
        </w:tc>
      </w:tr>
      <w:tr w:rsidR="00D76CDE" w:rsidTr="00A2348C">
        <w:tc>
          <w:tcPr>
            <w:tcW w:w="3798" w:type="dxa"/>
          </w:tcPr>
          <w:p w:rsidR="00D76CDE" w:rsidRDefault="00D76CDE" w:rsidP="00A46D27">
            <w:r>
              <w:t>Preliminary findings</w:t>
            </w:r>
          </w:p>
        </w:tc>
        <w:tc>
          <w:tcPr>
            <w:tcW w:w="2160" w:type="dxa"/>
          </w:tcPr>
          <w:p w:rsidR="00D76CDE" w:rsidRDefault="00D76CDE" w:rsidP="00A46D27">
            <w:r>
              <w:t>Fall 2015</w:t>
            </w:r>
          </w:p>
        </w:tc>
      </w:tr>
      <w:tr w:rsidR="00D76CDE" w:rsidTr="00A2348C">
        <w:tc>
          <w:tcPr>
            <w:tcW w:w="3798" w:type="dxa"/>
          </w:tcPr>
          <w:p w:rsidR="00D76CDE" w:rsidRDefault="00D76CDE" w:rsidP="00A46D27">
            <w:r>
              <w:t>Final report delivered</w:t>
            </w:r>
          </w:p>
        </w:tc>
        <w:tc>
          <w:tcPr>
            <w:tcW w:w="2160" w:type="dxa"/>
          </w:tcPr>
          <w:p w:rsidR="00D76CDE" w:rsidRDefault="00D76CDE" w:rsidP="00A46D27">
            <w:r>
              <w:t>December 2015</w:t>
            </w:r>
          </w:p>
        </w:tc>
      </w:tr>
    </w:tbl>
    <w:p w:rsidR="00D76CDE" w:rsidRDefault="00D76CDE" w:rsidP="00A46D27">
      <w:pPr>
        <w:spacing w:after="0"/>
      </w:pPr>
    </w:p>
    <w:p w:rsidR="00A46D27" w:rsidRPr="000C1D81" w:rsidRDefault="00A46D27" w:rsidP="00A46D27">
      <w:pPr>
        <w:spacing w:after="0"/>
        <w:rPr>
          <w:b/>
        </w:rPr>
      </w:pPr>
      <w:r w:rsidRPr="000C1D81">
        <w:rPr>
          <w:b/>
        </w:rPr>
        <w:t>Estimated Budget</w:t>
      </w:r>
      <w:r w:rsidR="00AF7BED">
        <w:rPr>
          <w:b/>
        </w:rPr>
        <w:t xml:space="preserve"> for Data Collection</w:t>
      </w:r>
    </w:p>
    <w:tbl>
      <w:tblPr>
        <w:tblStyle w:val="TableGrid"/>
        <w:tblW w:w="0" w:type="auto"/>
        <w:tblLook w:val="04A0"/>
      </w:tblPr>
      <w:tblGrid>
        <w:gridCol w:w="4788"/>
        <w:gridCol w:w="1170"/>
      </w:tblGrid>
      <w:tr w:rsidR="004B00F0" w:rsidTr="00D76CDE">
        <w:tc>
          <w:tcPr>
            <w:tcW w:w="4788" w:type="dxa"/>
          </w:tcPr>
          <w:p w:rsidR="004B00F0" w:rsidRDefault="004B00F0" w:rsidP="00A46D27">
            <w:r>
              <w:t>Baseline Survey- Jan 2013</w:t>
            </w:r>
          </w:p>
        </w:tc>
        <w:tc>
          <w:tcPr>
            <w:tcW w:w="1170" w:type="dxa"/>
          </w:tcPr>
          <w:p w:rsidR="004B00F0" w:rsidRDefault="004B00F0" w:rsidP="00A46D27"/>
        </w:tc>
      </w:tr>
      <w:tr w:rsidR="004B00F0" w:rsidTr="00D76CDE">
        <w:tc>
          <w:tcPr>
            <w:tcW w:w="4788" w:type="dxa"/>
          </w:tcPr>
          <w:p w:rsidR="004B00F0" w:rsidRDefault="004B00F0" w:rsidP="00A46D27">
            <w:r>
              <w:t>Tracking survey (to update contact information between surveys)</w:t>
            </w:r>
          </w:p>
        </w:tc>
        <w:tc>
          <w:tcPr>
            <w:tcW w:w="1170" w:type="dxa"/>
          </w:tcPr>
          <w:p w:rsidR="004B00F0" w:rsidRDefault="004B00F0" w:rsidP="00A46D27"/>
        </w:tc>
      </w:tr>
      <w:tr w:rsidR="004B00F0" w:rsidTr="00D76CDE">
        <w:tc>
          <w:tcPr>
            <w:tcW w:w="4788" w:type="dxa"/>
          </w:tcPr>
          <w:p w:rsidR="004B00F0" w:rsidRDefault="004B00F0" w:rsidP="00A46D27">
            <w:proofErr w:type="spellStart"/>
            <w:r>
              <w:t>Endline</w:t>
            </w:r>
            <w:proofErr w:type="spellEnd"/>
            <w:r>
              <w:t xml:space="preserve"> Survey- Jan 2015</w:t>
            </w:r>
          </w:p>
        </w:tc>
        <w:tc>
          <w:tcPr>
            <w:tcW w:w="1170" w:type="dxa"/>
          </w:tcPr>
          <w:p w:rsidR="004B00F0" w:rsidRDefault="004B00F0" w:rsidP="00A46D27"/>
        </w:tc>
      </w:tr>
      <w:tr w:rsidR="004B00F0" w:rsidTr="00D76CDE">
        <w:tc>
          <w:tcPr>
            <w:tcW w:w="4788" w:type="dxa"/>
          </w:tcPr>
          <w:p w:rsidR="004B00F0" w:rsidRPr="00D76CDE" w:rsidRDefault="004B00F0" w:rsidP="004B00F0">
            <w:pPr>
              <w:rPr>
                <w:b/>
              </w:rPr>
            </w:pPr>
            <w:r w:rsidRPr="00D76CDE">
              <w:rPr>
                <w:b/>
              </w:rPr>
              <w:t>TOTAL</w:t>
            </w:r>
            <w:r w:rsidR="00AF7BED" w:rsidRPr="00D76CDE">
              <w:rPr>
                <w:b/>
              </w:rPr>
              <w:t xml:space="preserve"> </w:t>
            </w:r>
          </w:p>
        </w:tc>
        <w:tc>
          <w:tcPr>
            <w:tcW w:w="1170" w:type="dxa"/>
          </w:tcPr>
          <w:p w:rsidR="004B00F0" w:rsidRPr="00D76CDE" w:rsidRDefault="004B00F0" w:rsidP="00A46D27">
            <w:pPr>
              <w:rPr>
                <w:b/>
              </w:rPr>
            </w:pPr>
          </w:p>
        </w:tc>
      </w:tr>
    </w:tbl>
    <w:p w:rsidR="00C9657D" w:rsidRDefault="00C9657D" w:rsidP="00A46D27">
      <w:pPr>
        <w:spacing w:after="0"/>
      </w:pPr>
    </w:p>
    <w:p w:rsidR="00684138" w:rsidRPr="004B00F0" w:rsidRDefault="00684138" w:rsidP="00A46D27">
      <w:pPr>
        <w:spacing w:after="0"/>
        <w:rPr>
          <w:b/>
        </w:rPr>
      </w:pPr>
      <w:r w:rsidRPr="00684138">
        <w:rPr>
          <w:b/>
        </w:rPr>
        <w:t>Impact Evaluation Team</w:t>
      </w:r>
    </w:p>
    <w:p w:rsidR="00684138" w:rsidRDefault="00684138" w:rsidP="007D7838">
      <w:pPr>
        <w:pStyle w:val="ListParagraph"/>
        <w:numPr>
          <w:ilvl w:val="0"/>
          <w:numId w:val="5"/>
        </w:numPr>
        <w:spacing w:after="0"/>
      </w:pPr>
      <w:proofErr w:type="spellStart"/>
      <w:r>
        <w:t>Shubha</w:t>
      </w:r>
      <w:proofErr w:type="spellEnd"/>
      <w:r>
        <w:t xml:space="preserve"> </w:t>
      </w:r>
      <w:proofErr w:type="spellStart"/>
      <w:r>
        <w:t>Chakravarty</w:t>
      </w:r>
      <w:proofErr w:type="spellEnd"/>
      <w:r>
        <w:t>, Economist, Africa Gender Practice.</w:t>
      </w:r>
    </w:p>
    <w:p w:rsidR="00684138" w:rsidRDefault="00684138" w:rsidP="007D7838">
      <w:pPr>
        <w:pStyle w:val="ListParagraph"/>
        <w:numPr>
          <w:ilvl w:val="0"/>
          <w:numId w:val="5"/>
        </w:numPr>
        <w:spacing w:after="0"/>
      </w:pPr>
      <w:proofErr w:type="spellStart"/>
      <w:r>
        <w:t>Mattias</w:t>
      </w:r>
      <w:proofErr w:type="spellEnd"/>
      <w:r>
        <w:t xml:space="preserve"> Lundberg, Senior Economist, HD Social Protection and Labor.</w:t>
      </w:r>
    </w:p>
    <w:p w:rsidR="00684138" w:rsidRDefault="00684138" w:rsidP="007D7838">
      <w:pPr>
        <w:pStyle w:val="ListParagraph"/>
        <w:numPr>
          <w:ilvl w:val="0"/>
          <w:numId w:val="5"/>
        </w:numPr>
        <w:spacing w:after="0"/>
      </w:pPr>
      <w:r>
        <w:t xml:space="preserve">Pinar </w:t>
      </w:r>
      <w:proofErr w:type="spellStart"/>
      <w:r>
        <w:t>Gunes</w:t>
      </w:r>
      <w:proofErr w:type="spellEnd"/>
      <w:r>
        <w:t>. PhD Candidate. University of Maryland Department of Agricultural and Resource Economics.</w:t>
      </w:r>
    </w:p>
    <w:p w:rsidR="00684138" w:rsidRDefault="00684138" w:rsidP="00A46D27">
      <w:pPr>
        <w:spacing w:after="0"/>
      </w:pPr>
    </w:p>
    <w:p w:rsidR="00326622" w:rsidRPr="00870B8E" w:rsidRDefault="00C9657D" w:rsidP="00870B8E">
      <w:pPr>
        <w:spacing w:after="0"/>
        <w:rPr>
          <w:b/>
        </w:rPr>
      </w:pPr>
      <w:r w:rsidRPr="00870B8E">
        <w:rPr>
          <w:b/>
        </w:rPr>
        <w:t>References</w:t>
      </w:r>
    </w:p>
    <w:p w:rsidR="00870B8E" w:rsidRDefault="00870B8E" w:rsidP="008D1434">
      <w:pPr>
        <w:pStyle w:val="Default"/>
        <w:numPr>
          <w:ilvl w:val="0"/>
          <w:numId w:val="3"/>
        </w:numPr>
        <w:rPr>
          <w:rFonts w:asciiTheme="minorHAnsi" w:hAnsiTheme="minorHAnsi"/>
          <w:color w:val="auto"/>
          <w:sz w:val="22"/>
          <w:szCs w:val="22"/>
        </w:rPr>
      </w:pPr>
      <w:proofErr w:type="spellStart"/>
      <w:r>
        <w:rPr>
          <w:rFonts w:asciiTheme="minorHAnsi" w:hAnsiTheme="minorHAnsi"/>
          <w:color w:val="auto"/>
          <w:sz w:val="22"/>
          <w:szCs w:val="22"/>
        </w:rPr>
        <w:t>Adoho</w:t>
      </w:r>
      <w:proofErr w:type="spellEnd"/>
      <w:r>
        <w:rPr>
          <w:rFonts w:asciiTheme="minorHAnsi" w:hAnsiTheme="minorHAnsi"/>
          <w:color w:val="auto"/>
          <w:sz w:val="22"/>
          <w:szCs w:val="22"/>
        </w:rPr>
        <w:t xml:space="preserve">, Franck, </w:t>
      </w:r>
      <w:proofErr w:type="spellStart"/>
      <w:r>
        <w:rPr>
          <w:rFonts w:asciiTheme="minorHAnsi" w:hAnsiTheme="minorHAnsi"/>
          <w:color w:val="auto"/>
          <w:sz w:val="22"/>
          <w:szCs w:val="22"/>
        </w:rPr>
        <w:t>Shubha</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Chakravarty</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Dala</w:t>
      </w:r>
      <w:proofErr w:type="spellEnd"/>
      <w:r>
        <w:rPr>
          <w:rFonts w:asciiTheme="minorHAnsi" w:hAnsiTheme="minorHAnsi"/>
          <w:color w:val="auto"/>
          <w:sz w:val="22"/>
          <w:szCs w:val="22"/>
        </w:rPr>
        <w:t xml:space="preserve"> T. </w:t>
      </w:r>
      <w:proofErr w:type="spellStart"/>
      <w:r>
        <w:rPr>
          <w:rFonts w:asciiTheme="minorHAnsi" w:hAnsiTheme="minorHAnsi"/>
          <w:color w:val="auto"/>
          <w:sz w:val="22"/>
          <w:szCs w:val="22"/>
        </w:rPr>
        <w:t>Korkoyah</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Mattias</w:t>
      </w:r>
      <w:proofErr w:type="spellEnd"/>
      <w:r>
        <w:rPr>
          <w:rFonts w:asciiTheme="minorHAnsi" w:hAnsiTheme="minorHAnsi"/>
          <w:color w:val="auto"/>
          <w:sz w:val="22"/>
          <w:szCs w:val="22"/>
        </w:rPr>
        <w:t xml:space="preserve"> Lundberg, and </w:t>
      </w:r>
      <w:proofErr w:type="spellStart"/>
      <w:r>
        <w:rPr>
          <w:rFonts w:asciiTheme="minorHAnsi" w:hAnsiTheme="minorHAnsi"/>
          <w:color w:val="auto"/>
          <w:sz w:val="22"/>
          <w:szCs w:val="22"/>
        </w:rPr>
        <w:t>Afia</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Tasneem</w:t>
      </w:r>
      <w:proofErr w:type="spellEnd"/>
      <w:r>
        <w:rPr>
          <w:rFonts w:asciiTheme="minorHAnsi" w:hAnsiTheme="minorHAnsi"/>
          <w:color w:val="auto"/>
          <w:sz w:val="22"/>
          <w:szCs w:val="22"/>
        </w:rPr>
        <w:t xml:space="preserve"> (2013). </w:t>
      </w:r>
    </w:p>
    <w:p w:rsidR="00C9657D" w:rsidRPr="008D1434" w:rsidRDefault="00326622" w:rsidP="008D1434">
      <w:pPr>
        <w:pStyle w:val="Default"/>
        <w:numPr>
          <w:ilvl w:val="0"/>
          <w:numId w:val="3"/>
        </w:numPr>
        <w:rPr>
          <w:rFonts w:asciiTheme="minorHAnsi" w:hAnsiTheme="minorHAnsi"/>
          <w:color w:val="auto"/>
          <w:sz w:val="22"/>
          <w:szCs w:val="22"/>
        </w:rPr>
      </w:pPr>
      <w:proofErr w:type="spellStart"/>
      <w:r w:rsidRPr="008D1434">
        <w:rPr>
          <w:rFonts w:asciiTheme="minorHAnsi" w:hAnsiTheme="minorHAnsi"/>
          <w:color w:val="auto"/>
          <w:sz w:val="22"/>
          <w:szCs w:val="22"/>
        </w:rPr>
        <w:t>Bandiera</w:t>
      </w:r>
      <w:proofErr w:type="spellEnd"/>
      <w:r w:rsidRPr="008D1434">
        <w:rPr>
          <w:rFonts w:asciiTheme="minorHAnsi" w:hAnsiTheme="minorHAnsi"/>
          <w:color w:val="auto"/>
          <w:sz w:val="22"/>
          <w:szCs w:val="22"/>
        </w:rPr>
        <w:t xml:space="preserve">, O., </w:t>
      </w:r>
      <w:proofErr w:type="spellStart"/>
      <w:r w:rsidRPr="008D1434">
        <w:rPr>
          <w:rFonts w:asciiTheme="minorHAnsi" w:hAnsiTheme="minorHAnsi"/>
          <w:color w:val="auto"/>
          <w:sz w:val="22"/>
          <w:szCs w:val="22"/>
        </w:rPr>
        <w:t>Buehren</w:t>
      </w:r>
      <w:proofErr w:type="spellEnd"/>
      <w:r w:rsidRPr="008D1434">
        <w:rPr>
          <w:rFonts w:asciiTheme="minorHAnsi" w:hAnsiTheme="minorHAnsi"/>
          <w:color w:val="auto"/>
          <w:sz w:val="22"/>
          <w:szCs w:val="22"/>
        </w:rPr>
        <w:t xml:space="preserve">, N., Burgess, R., Goldstein, M., </w:t>
      </w:r>
      <w:proofErr w:type="spellStart"/>
      <w:r w:rsidRPr="008D1434">
        <w:rPr>
          <w:rFonts w:asciiTheme="minorHAnsi" w:hAnsiTheme="minorHAnsi"/>
          <w:color w:val="auto"/>
          <w:sz w:val="22"/>
          <w:szCs w:val="22"/>
        </w:rPr>
        <w:t>Gulesci</w:t>
      </w:r>
      <w:proofErr w:type="spellEnd"/>
      <w:r w:rsidRPr="008D1434">
        <w:rPr>
          <w:rFonts w:asciiTheme="minorHAnsi" w:hAnsiTheme="minorHAnsi"/>
          <w:color w:val="auto"/>
          <w:sz w:val="22"/>
          <w:szCs w:val="22"/>
        </w:rPr>
        <w:t xml:space="preserve">, S., </w:t>
      </w:r>
      <w:proofErr w:type="spellStart"/>
      <w:r w:rsidRPr="008D1434">
        <w:rPr>
          <w:rFonts w:asciiTheme="minorHAnsi" w:hAnsiTheme="minorHAnsi"/>
          <w:color w:val="auto"/>
          <w:sz w:val="22"/>
          <w:szCs w:val="22"/>
        </w:rPr>
        <w:t>Rasul</w:t>
      </w:r>
      <w:proofErr w:type="spellEnd"/>
      <w:r w:rsidRPr="008D1434">
        <w:rPr>
          <w:rFonts w:asciiTheme="minorHAnsi" w:hAnsiTheme="minorHAnsi"/>
          <w:color w:val="auto"/>
          <w:sz w:val="22"/>
          <w:szCs w:val="22"/>
        </w:rPr>
        <w:t xml:space="preserve">, I. and </w:t>
      </w:r>
      <w:proofErr w:type="spellStart"/>
      <w:r w:rsidRPr="008D1434">
        <w:rPr>
          <w:rFonts w:asciiTheme="minorHAnsi" w:hAnsiTheme="minorHAnsi"/>
          <w:color w:val="auto"/>
          <w:sz w:val="22"/>
          <w:szCs w:val="22"/>
        </w:rPr>
        <w:t>Sulaiman</w:t>
      </w:r>
      <w:proofErr w:type="spellEnd"/>
      <w:r w:rsidRPr="008D1434">
        <w:rPr>
          <w:rFonts w:asciiTheme="minorHAnsi" w:hAnsiTheme="minorHAnsi"/>
          <w:color w:val="auto"/>
          <w:sz w:val="22"/>
          <w:szCs w:val="22"/>
        </w:rPr>
        <w:t xml:space="preserve">, M. (2012) </w:t>
      </w:r>
      <w:r w:rsidRPr="008D1434">
        <w:rPr>
          <w:rFonts w:asciiTheme="minorHAnsi" w:hAnsiTheme="minorHAnsi"/>
          <w:i/>
          <w:iCs/>
          <w:color w:val="auto"/>
          <w:sz w:val="22"/>
          <w:szCs w:val="22"/>
        </w:rPr>
        <w:t xml:space="preserve">Empowering Adolescent Girls: Evidence from a Randomized Control Trial in Uganda </w:t>
      </w:r>
    </w:p>
    <w:p w:rsidR="00C9657D" w:rsidRPr="008D1434" w:rsidRDefault="00C9657D" w:rsidP="008D1434">
      <w:pPr>
        <w:pStyle w:val="ListParagraph"/>
        <w:numPr>
          <w:ilvl w:val="0"/>
          <w:numId w:val="3"/>
        </w:numPr>
        <w:spacing w:after="0"/>
        <w:rPr>
          <w:rFonts w:cs="SFRM1095"/>
        </w:rPr>
      </w:pPr>
      <w:proofErr w:type="spellStart"/>
      <w:r w:rsidRPr="008D1434">
        <w:t>Bannerjee</w:t>
      </w:r>
      <w:proofErr w:type="spellEnd"/>
      <w:r w:rsidRPr="008D1434">
        <w:t xml:space="preserve"> 2013. </w:t>
      </w:r>
      <w:r w:rsidRPr="008D1434">
        <w:rPr>
          <w:rFonts w:cs="Arial"/>
          <w:bCs/>
          <w:lang/>
        </w:rPr>
        <w:t>Microcredit Under the Microscope: What Have We Learned in the Past Two Decades, and What Do We Need to Know</w:t>
      </w:r>
      <w:r w:rsidR="00684138" w:rsidRPr="008D1434">
        <w:rPr>
          <w:rFonts w:cs="Arial"/>
          <w:bCs/>
          <w:lang/>
        </w:rPr>
        <w:t xml:space="preserve">. </w:t>
      </w:r>
      <w:r w:rsidR="00684138" w:rsidRPr="008D1434">
        <w:rPr>
          <w:rFonts w:cs="SFTI1095"/>
        </w:rPr>
        <w:t>Annual Review of Economics 5</w:t>
      </w:r>
      <w:r w:rsidR="00684138" w:rsidRPr="008D1434">
        <w:rPr>
          <w:rFonts w:cs="SFRM1095"/>
        </w:rPr>
        <w:t>.</w:t>
      </w:r>
    </w:p>
    <w:p w:rsidR="00694213" w:rsidRPr="00694213" w:rsidRDefault="00326622" w:rsidP="00694213">
      <w:pPr>
        <w:pStyle w:val="ListParagraph"/>
        <w:numPr>
          <w:ilvl w:val="0"/>
          <w:numId w:val="3"/>
        </w:numPr>
        <w:spacing w:after="0"/>
        <w:rPr>
          <w:rFonts w:cs="Arial"/>
          <w:bCs/>
          <w:lang/>
        </w:rPr>
      </w:pPr>
      <w:proofErr w:type="spellStart"/>
      <w:r w:rsidRPr="00870B8E">
        <w:rPr>
          <w:rFonts w:cs="SFRM1095"/>
        </w:rPr>
        <w:t>Beath</w:t>
      </w:r>
      <w:proofErr w:type="spellEnd"/>
      <w:r w:rsidRPr="00870B8E">
        <w:rPr>
          <w:rFonts w:cs="SFRM1095"/>
        </w:rPr>
        <w:t xml:space="preserve">, Andrew, </w:t>
      </w:r>
      <w:proofErr w:type="spellStart"/>
      <w:r w:rsidRPr="00870B8E">
        <w:rPr>
          <w:rFonts w:cs="SFRM1095"/>
        </w:rPr>
        <w:t>Fotini</w:t>
      </w:r>
      <w:proofErr w:type="spellEnd"/>
      <w:r w:rsidRPr="00870B8E">
        <w:rPr>
          <w:rFonts w:cs="SFRM1095"/>
        </w:rPr>
        <w:t xml:space="preserve"> </w:t>
      </w:r>
      <w:proofErr w:type="spellStart"/>
      <w:r w:rsidRPr="00870B8E">
        <w:rPr>
          <w:rFonts w:cs="SFRM1095"/>
        </w:rPr>
        <w:t>Christia</w:t>
      </w:r>
      <w:proofErr w:type="spellEnd"/>
      <w:r w:rsidRPr="00870B8E">
        <w:rPr>
          <w:rFonts w:cs="SFRM1095"/>
        </w:rPr>
        <w:t xml:space="preserve">, and Ruben </w:t>
      </w:r>
      <w:proofErr w:type="spellStart"/>
      <w:r w:rsidRPr="00870B8E">
        <w:rPr>
          <w:rFonts w:cs="SFRM1095"/>
        </w:rPr>
        <w:t>Enikolopov</w:t>
      </w:r>
      <w:proofErr w:type="spellEnd"/>
      <w:r w:rsidR="00DB6396" w:rsidRPr="00870B8E">
        <w:rPr>
          <w:rFonts w:cs="SFRM1095"/>
        </w:rPr>
        <w:t xml:space="preserve"> (2012</w:t>
      </w:r>
      <w:r w:rsidRPr="00870B8E">
        <w:rPr>
          <w:rFonts w:cs="SFRM1095"/>
        </w:rPr>
        <w:t xml:space="preserve">). Empowering Women: Evidence from a Field Experiment in Afghanistan. World Bank Policy Research Working Paper No. 6269. </w:t>
      </w:r>
    </w:p>
    <w:p w:rsidR="00694213" w:rsidRPr="00694213" w:rsidRDefault="00870B8E" w:rsidP="00694213">
      <w:pPr>
        <w:pStyle w:val="ListParagraph"/>
        <w:numPr>
          <w:ilvl w:val="0"/>
          <w:numId w:val="3"/>
        </w:numPr>
        <w:spacing w:after="0"/>
        <w:rPr>
          <w:rFonts w:cs="Arial"/>
          <w:bCs/>
          <w:lang/>
        </w:rPr>
      </w:pPr>
      <w:proofErr w:type="spellStart"/>
      <w:r w:rsidRPr="00870B8E">
        <w:lastRenderedPageBreak/>
        <w:t>Blattman</w:t>
      </w:r>
      <w:proofErr w:type="spellEnd"/>
      <w:r w:rsidRPr="00870B8E">
        <w:t xml:space="preserve">, Chris, Nathan </w:t>
      </w:r>
      <w:proofErr w:type="spellStart"/>
      <w:r w:rsidRPr="00870B8E">
        <w:t>Fiala</w:t>
      </w:r>
      <w:proofErr w:type="spellEnd"/>
      <w:r w:rsidRPr="00870B8E">
        <w:t xml:space="preserve">, and Sebastian Martinez (2011). </w:t>
      </w:r>
      <w:r w:rsidR="00694213" w:rsidRPr="00694213">
        <w:rPr>
          <w:rFonts w:cs="MaximusLTStd"/>
        </w:rPr>
        <w:t>Employment Generation in Rural Africa: Mid-term Results from an Experimental Evaluation of the Youth Opportunities Program in Northern Uganda</w:t>
      </w:r>
      <w:r w:rsidR="00694213">
        <w:rPr>
          <w:rFonts w:cs="MaximusLTStd"/>
        </w:rPr>
        <w:t xml:space="preserve">. World Bank Social Protection Discussion Paper No. 1120. </w:t>
      </w:r>
    </w:p>
    <w:p w:rsidR="00870B8E" w:rsidRPr="00870B8E" w:rsidRDefault="00684138" w:rsidP="00870B8E">
      <w:pPr>
        <w:pStyle w:val="ListParagraph"/>
        <w:numPr>
          <w:ilvl w:val="0"/>
          <w:numId w:val="3"/>
        </w:numPr>
        <w:spacing w:after="0"/>
      </w:pPr>
      <w:proofErr w:type="spellStart"/>
      <w:r w:rsidRPr="00694213">
        <w:rPr>
          <w:rFonts w:cs="Arial"/>
          <w:bCs/>
          <w:lang/>
        </w:rPr>
        <w:t>Burde</w:t>
      </w:r>
      <w:proofErr w:type="spellEnd"/>
      <w:r w:rsidRPr="00694213">
        <w:rPr>
          <w:rFonts w:cs="Arial"/>
          <w:bCs/>
          <w:lang/>
        </w:rPr>
        <w:t xml:space="preserve">, Dana, and Leigh Linden (2013). Bringing Education to Afghan Girls: A Randomized Controlled Trial of Village-Based Schools. </w:t>
      </w:r>
      <w:r w:rsidRPr="00694213">
        <w:rPr>
          <w:rFonts w:cs="TimesLTStd-Italic"/>
          <w:iCs/>
        </w:rPr>
        <w:t>American Economic Journal: Applied Economics 5(3): 27–40.</w:t>
      </w:r>
    </w:p>
    <w:p w:rsidR="000F2F96" w:rsidRDefault="00870B8E" w:rsidP="000F2F96">
      <w:pPr>
        <w:pStyle w:val="ListParagraph"/>
        <w:numPr>
          <w:ilvl w:val="0"/>
          <w:numId w:val="3"/>
        </w:numPr>
        <w:autoSpaceDE w:val="0"/>
        <w:autoSpaceDN w:val="0"/>
        <w:adjustRightInd w:val="0"/>
        <w:spacing w:after="0" w:line="240" w:lineRule="auto"/>
      </w:pPr>
      <w:r>
        <w:t xml:space="preserve">Cho, </w:t>
      </w:r>
      <w:proofErr w:type="spellStart"/>
      <w:r>
        <w:t>Yoonyoung</w:t>
      </w:r>
      <w:proofErr w:type="spellEnd"/>
      <w:r>
        <w:t xml:space="preserve">, </w:t>
      </w:r>
    </w:p>
    <w:p w:rsidR="000F2F96" w:rsidRPr="000F2F96" w:rsidRDefault="000F2F96" w:rsidP="000F2F96">
      <w:pPr>
        <w:pStyle w:val="ListParagraph"/>
        <w:numPr>
          <w:ilvl w:val="0"/>
          <w:numId w:val="3"/>
        </w:numPr>
        <w:autoSpaceDE w:val="0"/>
        <w:autoSpaceDN w:val="0"/>
        <w:adjustRightInd w:val="0"/>
        <w:spacing w:after="0" w:line="240" w:lineRule="auto"/>
      </w:pPr>
      <w:r>
        <w:t>De Mel, Suresh, David McKenzie, and Christopher Woodruff (2009</w:t>
      </w:r>
      <w:r w:rsidRPr="000F2F96">
        <w:t xml:space="preserve">). </w:t>
      </w:r>
      <w:r w:rsidRPr="000F2F96">
        <w:rPr>
          <w:rFonts w:cs="Times New Roman"/>
          <w:bCs/>
        </w:rPr>
        <w:t>Are Women More Credit Constrained? Experimental Evidence on Gender and Microenterprise Returns</w:t>
      </w:r>
      <w:r>
        <w:rPr>
          <w:rFonts w:cs="Times New Roman"/>
          <w:bCs/>
        </w:rPr>
        <w:t>. Working Paper.</w:t>
      </w:r>
    </w:p>
    <w:p w:rsidR="00870B8E" w:rsidRPr="00870B8E" w:rsidRDefault="00870B8E" w:rsidP="00870B8E">
      <w:pPr>
        <w:pStyle w:val="ListParagraph"/>
        <w:numPr>
          <w:ilvl w:val="0"/>
          <w:numId w:val="3"/>
        </w:numPr>
        <w:autoSpaceDE w:val="0"/>
        <w:autoSpaceDN w:val="0"/>
        <w:adjustRightInd w:val="0"/>
        <w:spacing w:after="0" w:line="240" w:lineRule="auto"/>
      </w:pPr>
      <w:proofErr w:type="spellStart"/>
      <w:r w:rsidRPr="00870B8E">
        <w:rPr>
          <w:rFonts w:cs="TrebuchetMS"/>
        </w:rPr>
        <w:t>Duvendack</w:t>
      </w:r>
      <w:proofErr w:type="spellEnd"/>
      <w:r w:rsidRPr="00870B8E">
        <w:rPr>
          <w:rFonts w:cs="TrebuchetMS"/>
        </w:rPr>
        <w:t xml:space="preserve"> M, Palmer-Jones R, </w:t>
      </w:r>
      <w:proofErr w:type="spellStart"/>
      <w:r w:rsidRPr="00870B8E">
        <w:rPr>
          <w:rFonts w:cs="TrebuchetMS"/>
        </w:rPr>
        <w:t>Copestake</w:t>
      </w:r>
      <w:proofErr w:type="spellEnd"/>
      <w:r w:rsidRPr="00870B8E">
        <w:rPr>
          <w:rFonts w:cs="TrebuchetMS"/>
        </w:rPr>
        <w:t xml:space="preserve"> JG, Hooper L, </w:t>
      </w:r>
      <w:proofErr w:type="spellStart"/>
      <w:r w:rsidRPr="00870B8E">
        <w:rPr>
          <w:rFonts w:cs="TrebuchetMS"/>
        </w:rPr>
        <w:t>Loke</w:t>
      </w:r>
      <w:proofErr w:type="spellEnd"/>
      <w:r w:rsidRPr="00870B8E">
        <w:rPr>
          <w:rFonts w:cs="TrebuchetMS"/>
        </w:rPr>
        <w:t xml:space="preserve"> Y, </w:t>
      </w:r>
      <w:proofErr w:type="spellStart"/>
      <w:r w:rsidRPr="00870B8E">
        <w:rPr>
          <w:rFonts w:cs="TrebuchetMS"/>
        </w:rPr>
        <w:t>Rao</w:t>
      </w:r>
      <w:proofErr w:type="spellEnd"/>
      <w:r w:rsidRPr="00870B8E">
        <w:rPr>
          <w:rFonts w:cs="TrebuchetMS"/>
        </w:rPr>
        <w:t xml:space="preserve"> N (2011)</w:t>
      </w:r>
      <w:r>
        <w:rPr>
          <w:rFonts w:cs="TrebuchetMS"/>
        </w:rPr>
        <w:t>.</w:t>
      </w:r>
      <w:r w:rsidRPr="00870B8E">
        <w:rPr>
          <w:rFonts w:cs="TrebuchetMS"/>
        </w:rPr>
        <w:t xml:space="preserve"> What is the evidence of the impact of microfinance on the well-being of poor people? London: EPPI-Centre, Social Science Research Unit, Institute of Education, University of London.</w:t>
      </w:r>
      <w:r w:rsidRPr="00870B8E">
        <w:t xml:space="preserve"> </w:t>
      </w:r>
    </w:p>
    <w:p w:rsidR="00870B8E" w:rsidRPr="00870B8E" w:rsidRDefault="00326622" w:rsidP="00870B8E">
      <w:pPr>
        <w:pStyle w:val="ListParagraph"/>
        <w:numPr>
          <w:ilvl w:val="0"/>
          <w:numId w:val="3"/>
        </w:numPr>
        <w:autoSpaceDE w:val="0"/>
        <w:autoSpaceDN w:val="0"/>
        <w:adjustRightInd w:val="0"/>
        <w:spacing w:after="0" w:line="240" w:lineRule="auto"/>
      </w:pPr>
      <w:r w:rsidRPr="00870B8E">
        <w:t xml:space="preserve">D’Souza, Anna and Dean Joliffe (2010). Rising Food Prices and Coping Strategies: Household-level evidence from Afghanistan. World Bank Policy Research Working Paper No. 5466. </w:t>
      </w:r>
    </w:p>
    <w:p w:rsidR="00870B8E" w:rsidRPr="00870B8E" w:rsidRDefault="00870B8E" w:rsidP="00870B8E">
      <w:pPr>
        <w:pStyle w:val="ListParagraph"/>
        <w:numPr>
          <w:ilvl w:val="0"/>
          <w:numId w:val="3"/>
        </w:numPr>
        <w:autoSpaceDE w:val="0"/>
        <w:autoSpaceDN w:val="0"/>
        <w:adjustRightInd w:val="0"/>
        <w:spacing w:after="0" w:line="240" w:lineRule="auto"/>
      </w:pPr>
      <w:r w:rsidRPr="00870B8E">
        <w:t xml:space="preserve">Field, Erica, </w:t>
      </w:r>
      <w:proofErr w:type="spellStart"/>
      <w:r w:rsidRPr="00870B8E">
        <w:rPr>
          <w:rFonts w:eastAsia="Times New Roman" w:cs="Times New Roman"/>
        </w:rPr>
        <w:t>Seema</w:t>
      </w:r>
      <w:proofErr w:type="spellEnd"/>
      <w:r w:rsidRPr="00870B8E">
        <w:rPr>
          <w:rFonts w:eastAsia="Times New Roman" w:cs="Times New Roman"/>
        </w:rPr>
        <w:t xml:space="preserve"> </w:t>
      </w:r>
      <w:proofErr w:type="spellStart"/>
      <w:r w:rsidRPr="00870B8E">
        <w:rPr>
          <w:rFonts w:eastAsia="Times New Roman" w:cs="Times New Roman"/>
        </w:rPr>
        <w:t>Jayachandran</w:t>
      </w:r>
      <w:proofErr w:type="spellEnd"/>
      <w:r w:rsidRPr="00870B8E">
        <w:rPr>
          <w:rFonts w:eastAsia="Times New Roman" w:cs="Times New Roman"/>
        </w:rPr>
        <w:t xml:space="preserve"> and </w:t>
      </w:r>
      <w:proofErr w:type="spellStart"/>
      <w:r w:rsidRPr="00870B8E">
        <w:rPr>
          <w:rFonts w:eastAsia="Times New Roman" w:cs="Times New Roman"/>
        </w:rPr>
        <w:t>Rohini</w:t>
      </w:r>
      <w:proofErr w:type="spellEnd"/>
      <w:r w:rsidRPr="00870B8E">
        <w:rPr>
          <w:rFonts w:eastAsia="Times New Roman" w:cs="Times New Roman"/>
        </w:rPr>
        <w:t xml:space="preserve"> </w:t>
      </w:r>
      <w:proofErr w:type="spellStart"/>
      <w:r w:rsidRPr="00870B8E">
        <w:rPr>
          <w:rFonts w:eastAsia="Times New Roman" w:cs="Times New Roman"/>
        </w:rPr>
        <w:t>Pande</w:t>
      </w:r>
      <w:proofErr w:type="spellEnd"/>
      <w:r w:rsidRPr="00870B8E">
        <w:rPr>
          <w:rFonts w:eastAsia="Times New Roman" w:cs="Times New Roman"/>
        </w:rPr>
        <w:t xml:space="preserve"> (2010). Do Traditional Institutions Constrain Female Entrepreneurship? A Field Experiment on Business Training in India. </w:t>
      </w:r>
      <w:r>
        <w:t xml:space="preserve">American Economic </w:t>
      </w:r>
      <w:r w:rsidRPr="00870B8E">
        <w:t xml:space="preserve">Review: Papers &amp; Proceedings 100: 125-129. </w:t>
      </w:r>
    </w:p>
    <w:p w:rsidR="00A46D27" w:rsidRPr="00870B8E" w:rsidRDefault="00684138" w:rsidP="008D1434">
      <w:pPr>
        <w:pStyle w:val="ListParagraph"/>
        <w:numPr>
          <w:ilvl w:val="0"/>
          <w:numId w:val="3"/>
        </w:numPr>
        <w:autoSpaceDE w:val="0"/>
        <w:autoSpaceDN w:val="0"/>
        <w:adjustRightInd w:val="0"/>
        <w:spacing w:after="0" w:line="240" w:lineRule="auto"/>
      </w:pPr>
      <w:r w:rsidRPr="00870B8E">
        <w:t xml:space="preserve">Ganesh, Lena (2013). </w:t>
      </w:r>
      <w:r w:rsidRPr="00870B8E">
        <w:rPr>
          <w:rFonts w:cs="Trebuchet MS"/>
          <w:bCs/>
        </w:rPr>
        <w:t>Women’s Economic Empowerment in Afghanistan: Creating Spaces and Enabling the Environment. Afghanistan Research and Evaluation Unit. Policy Note Series.</w:t>
      </w:r>
    </w:p>
    <w:p w:rsidR="008D1434" w:rsidRPr="008D1434" w:rsidRDefault="008D1434" w:rsidP="008D1434">
      <w:pPr>
        <w:pStyle w:val="ListParagraph"/>
        <w:numPr>
          <w:ilvl w:val="0"/>
          <w:numId w:val="3"/>
        </w:numPr>
        <w:spacing w:after="0"/>
        <w:rPr>
          <w:rFonts w:cs="Tahoma"/>
        </w:rPr>
      </w:pPr>
      <w:proofErr w:type="spellStart"/>
      <w:r w:rsidRPr="00870B8E">
        <w:t>Hashemi</w:t>
      </w:r>
      <w:proofErr w:type="spellEnd"/>
      <w:r w:rsidRPr="00870B8E">
        <w:t xml:space="preserve">, </w:t>
      </w:r>
      <w:proofErr w:type="spellStart"/>
      <w:r w:rsidRPr="00870B8E">
        <w:t>Syed</w:t>
      </w:r>
      <w:proofErr w:type="spellEnd"/>
      <w:r w:rsidRPr="00870B8E">
        <w:t xml:space="preserve"> M., Sidney Ruth Schuler, and Ann P. Riley. 1996. Rural credit programs and women’s empowerment in Bangladesh. </w:t>
      </w:r>
      <w:r w:rsidRPr="00870B8E">
        <w:rPr>
          <w:i/>
          <w:iCs/>
        </w:rPr>
        <w:t>World</w:t>
      </w:r>
      <w:r w:rsidRPr="008D1434">
        <w:rPr>
          <w:i/>
          <w:iCs/>
        </w:rPr>
        <w:t xml:space="preserve"> Development </w:t>
      </w:r>
      <w:r w:rsidRPr="008D1434">
        <w:t>24:635-653.</w:t>
      </w:r>
    </w:p>
    <w:p w:rsidR="00870B8E" w:rsidRDefault="00326622" w:rsidP="00870B8E">
      <w:pPr>
        <w:pStyle w:val="ListParagraph"/>
        <w:numPr>
          <w:ilvl w:val="0"/>
          <w:numId w:val="3"/>
        </w:numPr>
        <w:spacing w:after="0"/>
        <w:rPr>
          <w:rFonts w:cs="Tahoma"/>
        </w:rPr>
      </w:pPr>
      <w:r w:rsidRPr="008D1434">
        <w:rPr>
          <w:rFonts w:cs="Tahoma"/>
        </w:rPr>
        <w:t xml:space="preserve">Jensen, R. (2012). Do Labor Market Opportunities Affect Young Women's Work and Family Decisions? Experimental Evidence from India. </w:t>
      </w:r>
      <w:r w:rsidRPr="008D1434">
        <w:rPr>
          <w:rFonts w:cs="Tahoma"/>
          <w:i/>
          <w:iCs/>
        </w:rPr>
        <w:t>Quarterly Journal Of Economics</w:t>
      </w:r>
      <w:r w:rsidRPr="008D1434">
        <w:rPr>
          <w:rFonts w:cs="Tahoma"/>
        </w:rPr>
        <w:t xml:space="preserve">, </w:t>
      </w:r>
      <w:r w:rsidRPr="008D1434">
        <w:rPr>
          <w:rFonts w:cs="Tahoma"/>
          <w:i/>
          <w:iCs/>
        </w:rPr>
        <w:t>127</w:t>
      </w:r>
      <w:r w:rsidRPr="008D1434">
        <w:rPr>
          <w:rFonts w:cs="Tahoma"/>
        </w:rPr>
        <w:t>(2), 753-792.</w:t>
      </w:r>
    </w:p>
    <w:p w:rsidR="007A01A0" w:rsidRPr="00870B8E" w:rsidRDefault="008D1434" w:rsidP="00870B8E">
      <w:pPr>
        <w:pStyle w:val="ListParagraph"/>
        <w:numPr>
          <w:ilvl w:val="0"/>
          <w:numId w:val="3"/>
        </w:numPr>
        <w:spacing w:after="0"/>
        <w:rPr>
          <w:rFonts w:cs="Tahoma"/>
        </w:rPr>
      </w:pPr>
      <w:proofErr w:type="spellStart"/>
      <w:r w:rsidRPr="00870B8E">
        <w:t>Kabir</w:t>
      </w:r>
      <w:proofErr w:type="spellEnd"/>
      <w:r w:rsidRPr="00870B8E">
        <w:t xml:space="preserve"> </w:t>
      </w:r>
      <w:r w:rsidR="00870B8E" w:rsidRPr="00870B8E">
        <w:rPr>
          <w:rFonts w:cs="LucidaSans"/>
        </w:rPr>
        <w:t xml:space="preserve">Md. </w:t>
      </w:r>
      <w:proofErr w:type="spellStart"/>
      <w:r w:rsidR="00870B8E" w:rsidRPr="00870B8E">
        <w:rPr>
          <w:rFonts w:cs="LucidaSans"/>
        </w:rPr>
        <w:t>Mahbubul</w:t>
      </w:r>
      <w:proofErr w:type="spellEnd"/>
      <w:r w:rsidR="00870B8E" w:rsidRPr="00870B8E">
        <w:rPr>
          <w:rFonts w:cs="LucidaSans"/>
        </w:rPr>
        <w:t xml:space="preserve">, </w:t>
      </w:r>
      <w:proofErr w:type="spellStart"/>
      <w:r w:rsidR="00870B8E" w:rsidRPr="00870B8E">
        <w:rPr>
          <w:rFonts w:cs="LucidaSans"/>
        </w:rPr>
        <w:t>Rifat</w:t>
      </w:r>
      <w:proofErr w:type="spellEnd"/>
      <w:r w:rsidR="00870B8E" w:rsidRPr="00870B8E">
        <w:rPr>
          <w:rFonts w:cs="LucidaSans"/>
        </w:rPr>
        <w:t xml:space="preserve"> </w:t>
      </w:r>
      <w:proofErr w:type="spellStart"/>
      <w:r w:rsidR="00870B8E" w:rsidRPr="00870B8E">
        <w:rPr>
          <w:rFonts w:cs="LucidaSans"/>
        </w:rPr>
        <w:t>Afroze</w:t>
      </w:r>
      <w:proofErr w:type="spellEnd"/>
      <w:r w:rsidR="00870B8E" w:rsidRPr="00870B8E">
        <w:rPr>
          <w:rFonts w:cs="LucidaSans"/>
        </w:rPr>
        <w:t xml:space="preserve">, </w:t>
      </w:r>
      <w:proofErr w:type="spellStart"/>
      <w:r w:rsidR="00870B8E" w:rsidRPr="00870B8E">
        <w:rPr>
          <w:rFonts w:cs="LucidaSans"/>
        </w:rPr>
        <w:t>Mahmuda</w:t>
      </w:r>
      <w:proofErr w:type="spellEnd"/>
      <w:r w:rsidR="00870B8E" w:rsidRPr="00870B8E">
        <w:rPr>
          <w:rFonts w:cs="LucidaSans"/>
        </w:rPr>
        <w:t xml:space="preserve"> </w:t>
      </w:r>
      <w:proofErr w:type="spellStart"/>
      <w:r w:rsidR="00870B8E" w:rsidRPr="00870B8E">
        <w:rPr>
          <w:rFonts w:cs="LucidaSans"/>
        </w:rPr>
        <w:t>Aldeen</w:t>
      </w:r>
      <w:proofErr w:type="spellEnd"/>
      <w:r w:rsidR="00870B8E" w:rsidRPr="00870B8E">
        <w:t xml:space="preserve"> </w:t>
      </w:r>
      <w:r w:rsidR="00870B8E">
        <w:t>(</w:t>
      </w:r>
      <w:r w:rsidRPr="00870B8E">
        <w:t>2007</w:t>
      </w:r>
      <w:r w:rsidR="00870B8E">
        <w:t>).</w:t>
      </w:r>
      <w:r w:rsidR="00870B8E" w:rsidRPr="00870B8E">
        <w:t xml:space="preserve"> </w:t>
      </w:r>
      <w:r w:rsidR="00870B8E" w:rsidRPr="00870B8E">
        <w:rPr>
          <w:rFonts w:cs="LucidaSans"/>
        </w:rPr>
        <w:t>Impact Assessment of Adolescent</w:t>
      </w:r>
      <w:r w:rsidR="00870B8E">
        <w:rPr>
          <w:rFonts w:cs="LucidaSans"/>
        </w:rPr>
        <w:t xml:space="preserve"> </w:t>
      </w:r>
      <w:r w:rsidR="00870B8E" w:rsidRPr="00870B8E">
        <w:rPr>
          <w:rFonts w:cs="LucidaSans"/>
        </w:rPr>
        <w:t xml:space="preserve">Development </w:t>
      </w:r>
      <w:proofErr w:type="spellStart"/>
      <w:r w:rsidR="00870B8E" w:rsidRPr="00870B8E">
        <w:rPr>
          <w:rFonts w:cs="LucidaSans"/>
        </w:rPr>
        <w:t>Programme</w:t>
      </w:r>
      <w:proofErr w:type="spellEnd"/>
      <w:r w:rsidR="00870B8E" w:rsidRPr="00870B8E">
        <w:rPr>
          <w:rFonts w:cs="LucidaSans"/>
        </w:rPr>
        <w:t xml:space="preserve"> (ADP) of BRAC. BRAC Research Report. </w:t>
      </w:r>
    </w:p>
    <w:p w:rsidR="008D1434" w:rsidRPr="008D1434" w:rsidRDefault="008D1434" w:rsidP="007A01A0">
      <w:pPr>
        <w:pStyle w:val="ListParagraph"/>
        <w:numPr>
          <w:ilvl w:val="0"/>
          <w:numId w:val="3"/>
        </w:numPr>
        <w:autoSpaceDE w:val="0"/>
        <w:autoSpaceDN w:val="0"/>
        <w:adjustRightInd w:val="0"/>
        <w:spacing w:after="0" w:line="240" w:lineRule="auto"/>
      </w:pPr>
      <w:proofErr w:type="spellStart"/>
      <w:r>
        <w:t>Kandpal</w:t>
      </w:r>
      <w:proofErr w:type="spellEnd"/>
      <w:r w:rsidRPr="007A01A0">
        <w:rPr>
          <w:rFonts w:ascii="AGaramondPro-Italic" w:hAnsi="AGaramondPro-Italic" w:cs="AGaramondPro-Italic"/>
          <w:i/>
          <w:iCs/>
          <w:color w:val="008FFF"/>
          <w:sz w:val="28"/>
          <w:szCs w:val="28"/>
        </w:rPr>
        <w:t xml:space="preserve"> </w:t>
      </w:r>
      <w:proofErr w:type="spellStart"/>
      <w:r w:rsidRPr="007A01A0">
        <w:rPr>
          <w:rFonts w:cs="AGaramondPro-Italic"/>
          <w:iCs/>
        </w:rPr>
        <w:t>Eeshani</w:t>
      </w:r>
      <w:proofErr w:type="spellEnd"/>
      <w:r w:rsidRPr="007A01A0">
        <w:rPr>
          <w:rFonts w:cs="AGaramondPro-Italic"/>
          <w:iCs/>
        </w:rPr>
        <w:t xml:space="preserve">, Kathy </w:t>
      </w:r>
      <w:proofErr w:type="spellStart"/>
      <w:r w:rsidRPr="007A01A0">
        <w:rPr>
          <w:rFonts w:cs="AGaramondPro-Italic"/>
          <w:iCs/>
        </w:rPr>
        <w:t>Baylis</w:t>
      </w:r>
      <w:proofErr w:type="spellEnd"/>
      <w:r w:rsidRPr="007A01A0">
        <w:rPr>
          <w:rFonts w:cs="AGaramondPro-Italic"/>
          <w:iCs/>
        </w:rPr>
        <w:t xml:space="preserve">, and Mary </w:t>
      </w:r>
      <w:proofErr w:type="spellStart"/>
      <w:r w:rsidRPr="007A01A0">
        <w:rPr>
          <w:rFonts w:cs="AGaramondPro-Italic"/>
          <w:iCs/>
        </w:rPr>
        <w:t>Arends-Kuenning</w:t>
      </w:r>
      <w:proofErr w:type="spellEnd"/>
      <w:r w:rsidR="007A01A0">
        <w:rPr>
          <w:rFonts w:cs="AGaramondPro-Italic"/>
          <w:iCs/>
        </w:rPr>
        <w:t xml:space="preserve"> (2013)</w:t>
      </w:r>
      <w:r w:rsidRPr="007A01A0">
        <w:rPr>
          <w:rFonts w:cs="AGaramondPro-Italic"/>
          <w:iCs/>
        </w:rPr>
        <w:t xml:space="preserve">. </w:t>
      </w:r>
      <w:r w:rsidRPr="007A01A0">
        <w:rPr>
          <w:rFonts w:cs="AGaramondPro-Regular"/>
        </w:rPr>
        <w:t>Measuring the Effect of a Community-level</w:t>
      </w:r>
      <w:r w:rsidR="007A01A0">
        <w:rPr>
          <w:rFonts w:cs="AGaramondPro-Regular"/>
        </w:rPr>
        <w:t xml:space="preserve"> </w:t>
      </w:r>
      <w:r w:rsidRPr="007A01A0">
        <w:rPr>
          <w:rFonts w:cs="AGaramondPro-Regular"/>
        </w:rPr>
        <w:t>Program on Women’s Empowerment Outcomes</w:t>
      </w:r>
      <w:r w:rsidR="007A01A0" w:rsidRPr="007A01A0">
        <w:rPr>
          <w:rFonts w:cs="AGaramondPro-Regular"/>
        </w:rPr>
        <w:t xml:space="preserve">: </w:t>
      </w:r>
      <w:r w:rsidRPr="007A01A0">
        <w:rPr>
          <w:rFonts w:cs="AGaramondPro-Regular"/>
        </w:rPr>
        <w:t>Evidence from India</w:t>
      </w:r>
      <w:r w:rsidR="007A01A0">
        <w:rPr>
          <w:rFonts w:cs="AGaramondPro-Regular"/>
        </w:rPr>
        <w:t xml:space="preserve">. World Bank Policy Research Working Paper No. 6399. </w:t>
      </w:r>
    </w:p>
    <w:p w:rsidR="00326622" w:rsidRPr="008D1434" w:rsidRDefault="008D1434" w:rsidP="008D1434">
      <w:pPr>
        <w:pStyle w:val="ListParagraph"/>
        <w:numPr>
          <w:ilvl w:val="0"/>
          <w:numId w:val="3"/>
        </w:numPr>
        <w:spacing w:after="0"/>
      </w:pPr>
      <w:r w:rsidRPr="008D1434">
        <w:t xml:space="preserve">Pitt, Mark M. and </w:t>
      </w:r>
      <w:proofErr w:type="spellStart"/>
      <w:r w:rsidRPr="008D1434">
        <w:t>Shahidur</w:t>
      </w:r>
      <w:proofErr w:type="spellEnd"/>
      <w:r w:rsidRPr="008D1434">
        <w:t xml:space="preserve"> R. </w:t>
      </w:r>
      <w:proofErr w:type="spellStart"/>
      <w:r w:rsidRPr="008D1434">
        <w:t>Khandker</w:t>
      </w:r>
      <w:proofErr w:type="spellEnd"/>
      <w:r w:rsidRPr="008D1434">
        <w:t xml:space="preserve">. 1998. The Impact of Group-Based Credit Programs on Poor Households in Bangladesh: Does the Gender of Participants Matter? </w:t>
      </w:r>
      <w:r w:rsidRPr="008D1434">
        <w:rPr>
          <w:i/>
          <w:iCs/>
        </w:rPr>
        <w:t xml:space="preserve">Journal of Political Economy </w:t>
      </w:r>
      <w:r w:rsidRPr="008D1434">
        <w:t>106(5):958–96.</w:t>
      </w:r>
    </w:p>
    <w:p w:rsidR="000D014B" w:rsidRDefault="000D014B">
      <w:r>
        <w:br w:type="page"/>
      </w:r>
    </w:p>
    <w:p w:rsidR="000D014B" w:rsidRPr="004103ED" w:rsidRDefault="000D014B" w:rsidP="000D014B">
      <w:pPr>
        <w:rPr>
          <w:b/>
        </w:rPr>
      </w:pPr>
      <w:r w:rsidRPr="004103ED">
        <w:rPr>
          <w:b/>
        </w:rPr>
        <w:lastRenderedPageBreak/>
        <w:t>Annex 1.  FYEI Core Indicators for Impact Evaluation</w:t>
      </w:r>
    </w:p>
    <w:tbl>
      <w:tblPr>
        <w:tblStyle w:val="TableGrid"/>
        <w:tblW w:w="0" w:type="auto"/>
        <w:tblLook w:val="04A0"/>
      </w:tblPr>
      <w:tblGrid>
        <w:gridCol w:w="1818"/>
        <w:gridCol w:w="7380"/>
      </w:tblGrid>
      <w:tr w:rsidR="00175B33" w:rsidTr="00175B33">
        <w:tc>
          <w:tcPr>
            <w:tcW w:w="1818" w:type="dxa"/>
          </w:tcPr>
          <w:p w:rsidR="00175B33" w:rsidRPr="009C21D9" w:rsidRDefault="00175B33" w:rsidP="006F3029">
            <w:pPr>
              <w:rPr>
                <w:b/>
                <w:sz w:val="20"/>
                <w:szCs w:val="20"/>
              </w:rPr>
            </w:pPr>
            <w:r w:rsidRPr="009C21D9">
              <w:rPr>
                <w:b/>
                <w:sz w:val="20"/>
                <w:szCs w:val="20"/>
              </w:rPr>
              <w:t>Class of indicator</w:t>
            </w:r>
          </w:p>
        </w:tc>
        <w:tc>
          <w:tcPr>
            <w:tcW w:w="7380" w:type="dxa"/>
          </w:tcPr>
          <w:p w:rsidR="00175B33" w:rsidRPr="009C21D9" w:rsidRDefault="00175B33" w:rsidP="006F3029">
            <w:pPr>
              <w:rPr>
                <w:b/>
                <w:sz w:val="20"/>
                <w:szCs w:val="20"/>
              </w:rPr>
            </w:pPr>
            <w:r w:rsidRPr="009C21D9">
              <w:rPr>
                <w:b/>
                <w:sz w:val="20"/>
                <w:szCs w:val="20"/>
              </w:rPr>
              <w:t>Indicator</w:t>
            </w:r>
          </w:p>
        </w:tc>
      </w:tr>
      <w:tr w:rsidR="00175B33" w:rsidTr="00175B33">
        <w:tc>
          <w:tcPr>
            <w:tcW w:w="1818" w:type="dxa"/>
          </w:tcPr>
          <w:p w:rsidR="00175B33" w:rsidRPr="009C21D9" w:rsidRDefault="00175B33" w:rsidP="006F3029">
            <w:pPr>
              <w:rPr>
                <w:sz w:val="20"/>
                <w:szCs w:val="20"/>
              </w:rPr>
            </w:pPr>
            <w:r w:rsidRPr="009C21D9">
              <w:rPr>
                <w:sz w:val="20"/>
                <w:szCs w:val="20"/>
              </w:rPr>
              <w:t>Demographics</w:t>
            </w:r>
          </w:p>
        </w:tc>
        <w:tc>
          <w:tcPr>
            <w:tcW w:w="7380" w:type="dxa"/>
          </w:tcPr>
          <w:p w:rsidR="00175B33" w:rsidRPr="009C21D9" w:rsidRDefault="00175B33" w:rsidP="002C29DD">
            <w:pPr>
              <w:pStyle w:val="ListParagraph"/>
              <w:numPr>
                <w:ilvl w:val="0"/>
                <w:numId w:val="6"/>
              </w:numPr>
              <w:rPr>
                <w:sz w:val="20"/>
                <w:szCs w:val="20"/>
              </w:rPr>
            </w:pPr>
            <w:r w:rsidRPr="009C21D9">
              <w:rPr>
                <w:sz w:val="20"/>
                <w:szCs w:val="20"/>
              </w:rPr>
              <w:t>Age</w:t>
            </w:r>
          </w:p>
          <w:p w:rsidR="00175B33" w:rsidRPr="009C21D9" w:rsidRDefault="00175B33" w:rsidP="002C29DD">
            <w:pPr>
              <w:pStyle w:val="ListParagraph"/>
              <w:numPr>
                <w:ilvl w:val="0"/>
                <w:numId w:val="6"/>
              </w:numPr>
              <w:rPr>
                <w:sz w:val="20"/>
                <w:szCs w:val="20"/>
              </w:rPr>
            </w:pPr>
            <w:r w:rsidRPr="009C21D9">
              <w:rPr>
                <w:sz w:val="20"/>
                <w:szCs w:val="20"/>
              </w:rPr>
              <w:t>Marital status</w:t>
            </w:r>
          </w:p>
          <w:p w:rsidR="00175B33" w:rsidRPr="009C21D9" w:rsidRDefault="00175B33" w:rsidP="002C29DD">
            <w:pPr>
              <w:pStyle w:val="ListParagraph"/>
              <w:numPr>
                <w:ilvl w:val="0"/>
                <w:numId w:val="6"/>
              </w:numPr>
              <w:rPr>
                <w:sz w:val="20"/>
                <w:szCs w:val="20"/>
              </w:rPr>
            </w:pPr>
            <w:r w:rsidRPr="009C21D9">
              <w:rPr>
                <w:sz w:val="20"/>
                <w:szCs w:val="20"/>
              </w:rPr>
              <w:t>Ethnicity</w:t>
            </w:r>
          </w:p>
        </w:tc>
      </w:tr>
      <w:tr w:rsidR="00175B33" w:rsidTr="00175B33">
        <w:tc>
          <w:tcPr>
            <w:tcW w:w="1818" w:type="dxa"/>
          </w:tcPr>
          <w:p w:rsidR="00175B33" w:rsidRPr="009C21D9" w:rsidRDefault="00175B33" w:rsidP="006F3029">
            <w:pPr>
              <w:rPr>
                <w:sz w:val="20"/>
                <w:szCs w:val="20"/>
              </w:rPr>
            </w:pPr>
            <w:r w:rsidRPr="009C21D9">
              <w:rPr>
                <w:sz w:val="20"/>
                <w:szCs w:val="20"/>
              </w:rPr>
              <w:t>Education</w:t>
            </w:r>
          </w:p>
        </w:tc>
        <w:tc>
          <w:tcPr>
            <w:tcW w:w="7380" w:type="dxa"/>
          </w:tcPr>
          <w:p w:rsidR="00175B33" w:rsidRPr="009C21D9" w:rsidRDefault="00175B33" w:rsidP="002C29DD">
            <w:pPr>
              <w:pStyle w:val="ListParagraph"/>
              <w:numPr>
                <w:ilvl w:val="0"/>
                <w:numId w:val="7"/>
              </w:numPr>
              <w:rPr>
                <w:sz w:val="20"/>
                <w:szCs w:val="20"/>
              </w:rPr>
            </w:pPr>
            <w:r w:rsidRPr="009C21D9">
              <w:rPr>
                <w:sz w:val="20"/>
                <w:szCs w:val="20"/>
              </w:rPr>
              <w:t>Highest level of education completed</w:t>
            </w:r>
          </w:p>
          <w:p w:rsidR="00175B33" w:rsidRPr="009C21D9" w:rsidRDefault="00175B33" w:rsidP="002C29DD">
            <w:pPr>
              <w:pStyle w:val="ListParagraph"/>
              <w:numPr>
                <w:ilvl w:val="0"/>
                <w:numId w:val="7"/>
              </w:numPr>
              <w:rPr>
                <w:sz w:val="20"/>
                <w:szCs w:val="20"/>
              </w:rPr>
            </w:pPr>
            <w:r w:rsidRPr="009C21D9">
              <w:rPr>
                <w:sz w:val="20"/>
                <w:szCs w:val="20"/>
              </w:rPr>
              <w:t>Current enrolment</w:t>
            </w:r>
          </w:p>
          <w:p w:rsidR="00175B33" w:rsidRPr="009C21D9" w:rsidRDefault="00175B33" w:rsidP="002C29DD">
            <w:pPr>
              <w:pStyle w:val="ListParagraph"/>
              <w:numPr>
                <w:ilvl w:val="0"/>
                <w:numId w:val="7"/>
              </w:numPr>
              <w:rPr>
                <w:sz w:val="20"/>
                <w:szCs w:val="20"/>
              </w:rPr>
            </w:pPr>
            <w:r w:rsidRPr="009C21D9">
              <w:rPr>
                <w:sz w:val="20"/>
                <w:szCs w:val="20"/>
              </w:rPr>
              <w:t>Aspirations to return to school</w:t>
            </w:r>
          </w:p>
          <w:p w:rsidR="00175B33" w:rsidRPr="009C21D9" w:rsidRDefault="00175B33" w:rsidP="002C29DD">
            <w:pPr>
              <w:pStyle w:val="ListParagraph"/>
              <w:numPr>
                <w:ilvl w:val="0"/>
                <w:numId w:val="7"/>
              </w:numPr>
              <w:rPr>
                <w:sz w:val="20"/>
                <w:szCs w:val="20"/>
              </w:rPr>
            </w:pPr>
            <w:r w:rsidRPr="009C21D9">
              <w:rPr>
                <w:sz w:val="20"/>
                <w:szCs w:val="20"/>
              </w:rPr>
              <w:t>Reasons why dropped out/ stopped attending</w:t>
            </w:r>
          </w:p>
        </w:tc>
      </w:tr>
      <w:tr w:rsidR="00175B33" w:rsidTr="00175B33">
        <w:tc>
          <w:tcPr>
            <w:tcW w:w="1818" w:type="dxa"/>
          </w:tcPr>
          <w:p w:rsidR="00175B33" w:rsidRPr="009C21D9" w:rsidRDefault="00175B33" w:rsidP="006F3029">
            <w:pPr>
              <w:rPr>
                <w:sz w:val="20"/>
                <w:szCs w:val="20"/>
              </w:rPr>
            </w:pPr>
            <w:r w:rsidRPr="009C21D9">
              <w:rPr>
                <w:sz w:val="20"/>
                <w:szCs w:val="20"/>
              </w:rPr>
              <w:t>Employment</w:t>
            </w:r>
          </w:p>
        </w:tc>
        <w:tc>
          <w:tcPr>
            <w:tcW w:w="7380" w:type="dxa"/>
          </w:tcPr>
          <w:p w:rsidR="00175B33" w:rsidRPr="009C21D9" w:rsidRDefault="00175B33" w:rsidP="002C29DD">
            <w:pPr>
              <w:pStyle w:val="ListParagraph"/>
              <w:numPr>
                <w:ilvl w:val="0"/>
                <w:numId w:val="8"/>
              </w:numPr>
              <w:rPr>
                <w:sz w:val="20"/>
                <w:szCs w:val="20"/>
              </w:rPr>
            </w:pPr>
            <w:r w:rsidRPr="009C21D9">
              <w:rPr>
                <w:sz w:val="20"/>
                <w:szCs w:val="20"/>
              </w:rPr>
              <w:t>Current employment (broad definition)</w:t>
            </w:r>
          </w:p>
          <w:p w:rsidR="00175B33" w:rsidRPr="009C21D9" w:rsidRDefault="00175B33" w:rsidP="002C29DD">
            <w:pPr>
              <w:pStyle w:val="ListParagraph"/>
              <w:numPr>
                <w:ilvl w:val="0"/>
                <w:numId w:val="8"/>
              </w:numPr>
              <w:rPr>
                <w:sz w:val="20"/>
                <w:szCs w:val="20"/>
              </w:rPr>
            </w:pPr>
            <w:r w:rsidRPr="009C21D9">
              <w:rPr>
                <w:sz w:val="20"/>
                <w:szCs w:val="20"/>
              </w:rPr>
              <w:t>Type of current employment (sector, self- or wage-, location)</w:t>
            </w:r>
          </w:p>
          <w:p w:rsidR="00175B33" w:rsidRPr="009C21D9" w:rsidRDefault="00175B33" w:rsidP="002C29DD">
            <w:pPr>
              <w:pStyle w:val="ListParagraph"/>
              <w:numPr>
                <w:ilvl w:val="0"/>
                <w:numId w:val="8"/>
              </w:numPr>
              <w:rPr>
                <w:sz w:val="20"/>
                <w:szCs w:val="20"/>
              </w:rPr>
            </w:pPr>
            <w:r w:rsidRPr="009C21D9">
              <w:rPr>
                <w:sz w:val="20"/>
                <w:szCs w:val="20"/>
              </w:rPr>
              <w:t>Intensity of current employment (hours, days)</w:t>
            </w:r>
          </w:p>
          <w:p w:rsidR="00175B33" w:rsidRPr="009C21D9" w:rsidRDefault="00175B33" w:rsidP="002C29DD">
            <w:pPr>
              <w:pStyle w:val="ListParagraph"/>
              <w:numPr>
                <w:ilvl w:val="0"/>
                <w:numId w:val="8"/>
              </w:numPr>
              <w:rPr>
                <w:sz w:val="20"/>
                <w:szCs w:val="20"/>
              </w:rPr>
            </w:pPr>
            <w:r w:rsidRPr="009C21D9">
              <w:rPr>
                <w:sz w:val="20"/>
                <w:szCs w:val="20"/>
              </w:rPr>
              <w:t>Earnings from current employment</w:t>
            </w:r>
          </w:p>
        </w:tc>
      </w:tr>
      <w:tr w:rsidR="00175B33" w:rsidTr="00175B33">
        <w:tc>
          <w:tcPr>
            <w:tcW w:w="1818" w:type="dxa"/>
          </w:tcPr>
          <w:p w:rsidR="00175B33" w:rsidRPr="009C21D9" w:rsidRDefault="00175B33" w:rsidP="006F3029">
            <w:pPr>
              <w:rPr>
                <w:sz w:val="20"/>
                <w:szCs w:val="20"/>
              </w:rPr>
            </w:pPr>
            <w:r w:rsidRPr="009C21D9">
              <w:rPr>
                <w:sz w:val="20"/>
                <w:szCs w:val="20"/>
              </w:rPr>
              <w:t>Investment</w:t>
            </w:r>
          </w:p>
        </w:tc>
        <w:tc>
          <w:tcPr>
            <w:tcW w:w="7380" w:type="dxa"/>
          </w:tcPr>
          <w:p w:rsidR="00175B33" w:rsidRPr="009C21D9" w:rsidRDefault="00175B33" w:rsidP="002C29DD">
            <w:pPr>
              <w:pStyle w:val="ListParagraph"/>
              <w:numPr>
                <w:ilvl w:val="0"/>
                <w:numId w:val="9"/>
              </w:numPr>
              <w:rPr>
                <w:sz w:val="20"/>
                <w:szCs w:val="20"/>
              </w:rPr>
            </w:pPr>
            <w:r w:rsidRPr="009C21D9">
              <w:rPr>
                <w:sz w:val="20"/>
                <w:szCs w:val="20"/>
              </w:rPr>
              <w:t>Savings</w:t>
            </w:r>
          </w:p>
          <w:p w:rsidR="00175B33" w:rsidRPr="009C21D9" w:rsidRDefault="00175B33" w:rsidP="002C29DD">
            <w:pPr>
              <w:pStyle w:val="ListParagraph"/>
              <w:numPr>
                <w:ilvl w:val="0"/>
                <w:numId w:val="9"/>
              </w:numPr>
              <w:rPr>
                <w:sz w:val="20"/>
                <w:szCs w:val="20"/>
              </w:rPr>
            </w:pPr>
            <w:r w:rsidRPr="009C21D9">
              <w:rPr>
                <w:sz w:val="20"/>
                <w:szCs w:val="20"/>
              </w:rPr>
              <w:t>Borrowing</w:t>
            </w:r>
          </w:p>
          <w:p w:rsidR="00175B33" w:rsidRPr="009C21D9" w:rsidRDefault="00175B33" w:rsidP="002C29DD">
            <w:pPr>
              <w:pStyle w:val="ListParagraph"/>
              <w:numPr>
                <w:ilvl w:val="0"/>
                <w:numId w:val="9"/>
              </w:numPr>
              <w:rPr>
                <w:sz w:val="20"/>
                <w:szCs w:val="20"/>
              </w:rPr>
            </w:pPr>
            <w:r w:rsidRPr="009C21D9">
              <w:rPr>
                <w:sz w:val="20"/>
                <w:szCs w:val="20"/>
              </w:rPr>
              <w:t>Lending</w:t>
            </w:r>
          </w:p>
          <w:p w:rsidR="00175B33" w:rsidRPr="009C21D9" w:rsidRDefault="00175B33" w:rsidP="002C29DD">
            <w:pPr>
              <w:pStyle w:val="ListParagraph"/>
              <w:numPr>
                <w:ilvl w:val="0"/>
                <w:numId w:val="9"/>
              </w:numPr>
              <w:rPr>
                <w:sz w:val="20"/>
                <w:szCs w:val="20"/>
              </w:rPr>
            </w:pPr>
            <w:r w:rsidRPr="009C21D9">
              <w:rPr>
                <w:sz w:val="20"/>
                <w:szCs w:val="20"/>
              </w:rPr>
              <w:t>Asset ownership</w:t>
            </w:r>
          </w:p>
          <w:p w:rsidR="00175B33" w:rsidRPr="009C21D9" w:rsidRDefault="00175B33" w:rsidP="002C29DD">
            <w:pPr>
              <w:pStyle w:val="ListParagraph"/>
              <w:numPr>
                <w:ilvl w:val="0"/>
                <w:numId w:val="9"/>
              </w:numPr>
              <w:rPr>
                <w:sz w:val="20"/>
                <w:szCs w:val="20"/>
              </w:rPr>
            </w:pPr>
            <w:r w:rsidRPr="009C21D9">
              <w:rPr>
                <w:sz w:val="20"/>
                <w:szCs w:val="20"/>
              </w:rPr>
              <w:t>Expenditures</w:t>
            </w:r>
          </w:p>
          <w:p w:rsidR="00175B33" w:rsidRPr="009C21D9" w:rsidRDefault="00175B33" w:rsidP="002C29DD">
            <w:pPr>
              <w:pStyle w:val="ListParagraph"/>
              <w:numPr>
                <w:ilvl w:val="0"/>
                <w:numId w:val="9"/>
              </w:numPr>
              <w:rPr>
                <w:sz w:val="20"/>
                <w:szCs w:val="20"/>
              </w:rPr>
            </w:pPr>
            <w:r w:rsidRPr="009C21D9">
              <w:rPr>
                <w:sz w:val="20"/>
                <w:szCs w:val="20"/>
              </w:rPr>
              <w:t>Transfers to and from others</w:t>
            </w:r>
          </w:p>
        </w:tc>
      </w:tr>
      <w:tr w:rsidR="00175B33" w:rsidTr="00175B33">
        <w:tc>
          <w:tcPr>
            <w:tcW w:w="1818" w:type="dxa"/>
          </w:tcPr>
          <w:p w:rsidR="00175B33" w:rsidRPr="009C21D9" w:rsidRDefault="00175B33" w:rsidP="006F3029">
            <w:pPr>
              <w:rPr>
                <w:sz w:val="20"/>
                <w:szCs w:val="20"/>
              </w:rPr>
            </w:pPr>
            <w:r w:rsidRPr="009C21D9">
              <w:rPr>
                <w:sz w:val="20"/>
                <w:szCs w:val="20"/>
              </w:rPr>
              <w:t>Time Use</w:t>
            </w:r>
          </w:p>
        </w:tc>
        <w:tc>
          <w:tcPr>
            <w:tcW w:w="7380" w:type="dxa"/>
          </w:tcPr>
          <w:p w:rsidR="00175B33" w:rsidRPr="009C21D9" w:rsidRDefault="00175B33" w:rsidP="002C29DD">
            <w:pPr>
              <w:pStyle w:val="ListParagraph"/>
              <w:numPr>
                <w:ilvl w:val="0"/>
                <w:numId w:val="10"/>
              </w:numPr>
              <w:rPr>
                <w:sz w:val="20"/>
                <w:szCs w:val="20"/>
              </w:rPr>
            </w:pPr>
            <w:r w:rsidRPr="009C21D9">
              <w:rPr>
                <w:sz w:val="20"/>
                <w:szCs w:val="20"/>
              </w:rPr>
              <w:t xml:space="preserve">Time spent on paid work </w:t>
            </w:r>
          </w:p>
          <w:p w:rsidR="00175B33" w:rsidRPr="009C21D9" w:rsidRDefault="00175B33" w:rsidP="002C29DD">
            <w:pPr>
              <w:pStyle w:val="ListParagraph"/>
              <w:numPr>
                <w:ilvl w:val="0"/>
                <w:numId w:val="10"/>
              </w:numPr>
              <w:rPr>
                <w:sz w:val="20"/>
                <w:szCs w:val="20"/>
              </w:rPr>
            </w:pPr>
            <w:r w:rsidRPr="009C21D9">
              <w:rPr>
                <w:sz w:val="20"/>
                <w:szCs w:val="20"/>
              </w:rPr>
              <w:t>Time spent on unpaid/domestic work</w:t>
            </w:r>
          </w:p>
          <w:p w:rsidR="00175B33" w:rsidRPr="009C21D9" w:rsidRDefault="00175B33" w:rsidP="002C29DD">
            <w:pPr>
              <w:pStyle w:val="ListParagraph"/>
              <w:numPr>
                <w:ilvl w:val="0"/>
                <w:numId w:val="10"/>
              </w:numPr>
              <w:rPr>
                <w:sz w:val="20"/>
                <w:szCs w:val="20"/>
              </w:rPr>
            </w:pPr>
            <w:r w:rsidRPr="009C21D9">
              <w:rPr>
                <w:sz w:val="20"/>
                <w:szCs w:val="20"/>
              </w:rPr>
              <w:t xml:space="preserve">Time spent on leisure/recreation </w:t>
            </w:r>
          </w:p>
        </w:tc>
      </w:tr>
      <w:tr w:rsidR="00175B33" w:rsidTr="00175B33">
        <w:tc>
          <w:tcPr>
            <w:tcW w:w="1818" w:type="dxa"/>
          </w:tcPr>
          <w:p w:rsidR="00175B33" w:rsidRPr="009C21D9" w:rsidRDefault="00175B33" w:rsidP="006F3029">
            <w:pPr>
              <w:rPr>
                <w:sz w:val="20"/>
                <w:szCs w:val="20"/>
              </w:rPr>
            </w:pPr>
            <w:r w:rsidRPr="009C21D9">
              <w:rPr>
                <w:sz w:val="20"/>
                <w:szCs w:val="20"/>
              </w:rPr>
              <w:t>Empowerment</w:t>
            </w:r>
          </w:p>
        </w:tc>
        <w:tc>
          <w:tcPr>
            <w:tcW w:w="7380" w:type="dxa"/>
          </w:tcPr>
          <w:p w:rsidR="00175B33" w:rsidRPr="009C21D9" w:rsidRDefault="00175B33" w:rsidP="002C29DD">
            <w:pPr>
              <w:pStyle w:val="ListParagraph"/>
              <w:numPr>
                <w:ilvl w:val="0"/>
                <w:numId w:val="11"/>
              </w:numPr>
              <w:rPr>
                <w:sz w:val="20"/>
                <w:szCs w:val="20"/>
              </w:rPr>
            </w:pPr>
            <w:r w:rsidRPr="009C21D9">
              <w:rPr>
                <w:sz w:val="20"/>
                <w:szCs w:val="20"/>
              </w:rPr>
              <w:t>Control over resources</w:t>
            </w:r>
          </w:p>
          <w:p w:rsidR="00175B33" w:rsidRPr="009C21D9" w:rsidRDefault="00175B33" w:rsidP="00175B33">
            <w:pPr>
              <w:pStyle w:val="ListParagraph"/>
              <w:numPr>
                <w:ilvl w:val="0"/>
                <w:numId w:val="11"/>
              </w:numPr>
              <w:rPr>
                <w:sz w:val="20"/>
                <w:szCs w:val="20"/>
              </w:rPr>
            </w:pPr>
            <w:r w:rsidRPr="009C21D9">
              <w:rPr>
                <w:sz w:val="20"/>
                <w:szCs w:val="20"/>
              </w:rPr>
              <w:t>Mobility</w:t>
            </w:r>
          </w:p>
          <w:p w:rsidR="00175B33" w:rsidRPr="009C21D9" w:rsidRDefault="00175B33" w:rsidP="00175B33">
            <w:pPr>
              <w:pStyle w:val="ListParagraph"/>
              <w:numPr>
                <w:ilvl w:val="0"/>
                <w:numId w:val="11"/>
              </w:numPr>
              <w:rPr>
                <w:sz w:val="20"/>
                <w:szCs w:val="20"/>
              </w:rPr>
            </w:pPr>
            <w:r w:rsidRPr="009C21D9">
              <w:rPr>
                <w:sz w:val="20"/>
                <w:szCs w:val="20"/>
              </w:rPr>
              <w:t>Self-regulation (11-item scale)</w:t>
            </w:r>
          </w:p>
          <w:p w:rsidR="00175B33" w:rsidRPr="009C21D9" w:rsidRDefault="00175B33" w:rsidP="00175B33">
            <w:pPr>
              <w:pStyle w:val="ListParagraph"/>
              <w:numPr>
                <w:ilvl w:val="0"/>
                <w:numId w:val="11"/>
              </w:numPr>
              <w:rPr>
                <w:sz w:val="20"/>
                <w:szCs w:val="20"/>
              </w:rPr>
            </w:pPr>
            <w:r w:rsidRPr="009C21D9">
              <w:rPr>
                <w:sz w:val="20"/>
                <w:szCs w:val="20"/>
              </w:rPr>
              <w:t>Entrepreneurial self-confidence (8-item scale)</w:t>
            </w:r>
          </w:p>
          <w:p w:rsidR="00175B33" w:rsidRPr="009C21D9" w:rsidRDefault="00175B33" w:rsidP="00175B33">
            <w:pPr>
              <w:pStyle w:val="ListParagraph"/>
              <w:numPr>
                <w:ilvl w:val="0"/>
                <w:numId w:val="11"/>
              </w:numPr>
              <w:rPr>
                <w:sz w:val="20"/>
                <w:szCs w:val="20"/>
              </w:rPr>
            </w:pPr>
            <w:r w:rsidRPr="009C21D9">
              <w:rPr>
                <w:sz w:val="20"/>
                <w:szCs w:val="20"/>
              </w:rPr>
              <w:t>Social support</w:t>
            </w:r>
          </w:p>
          <w:p w:rsidR="00175B33" w:rsidRPr="009C21D9" w:rsidRDefault="00175B33" w:rsidP="00175B33">
            <w:pPr>
              <w:pStyle w:val="ListParagraph"/>
              <w:numPr>
                <w:ilvl w:val="0"/>
                <w:numId w:val="11"/>
              </w:numPr>
              <w:rPr>
                <w:sz w:val="20"/>
                <w:szCs w:val="20"/>
              </w:rPr>
            </w:pPr>
            <w:r w:rsidRPr="009C21D9">
              <w:rPr>
                <w:sz w:val="20"/>
                <w:szCs w:val="20"/>
              </w:rPr>
              <w:t>Subjective well-being</w:t>
            </w:r>
          </w:p>
        </w:tc>
      </w:tr>
      <w:tr w:rsidR="00175B33" w:rsidTr="00175B33">
        <w:tc>
          <w:tcPr>
            <w:tcW w:w="1818" w:type="dxa"/>
          </w:tcPr>
          <w:p w:rsidR="00175B33" w:rsidRPr="009C21D9" w:rsidRDefault="00175B33" w:rsidP="006F3029">
            <w:pPr>
              <w:rPr>
                <w:sz w:val="20"/>
                <w:szCs w:val="20"/>
              </w:rPr>
            </w:pPr>
            <w:r w:rsidRPr="009C21D9">
              <w:rPr>
                <w:sz w:val="20"/>
                <w:szCs w:val="20"/>
              </w:rPr>
              <w:t>Family history / relationships</w:t>
            </w:r>
          </w:p>
        </w:tc>
        <w:tc>
          <w:tcPr>
            <w:tcW w:w="7380" w:type="dxa"/>
          </w:tcPr>
          <w:p w:rsidR="00175B33" w:rsidRPr="009C21D9" w:rsidRDefault="00175B33" w:rsidP="00175B33">
            <w:pPr>
              <w:pStyle w:val="ListParagraph"/>
              <w:numPr>
                <w:ilvl w:val="0"/>
                <w:numId w:val="12"/>
              </w:numPr>
              <w:rPr>
                <w:sz w:val="20"/>
                <w:szCs w:val="20"/>
              </w:rPr>
            </w:pPr>
            <w:r w:rsidRPr="009C21D9">
              <w:rPr>
                <w:sz w:val="20"/>
                <w:szCs w:val="20"/>
              </w:rPr>
              <w:t>Conflict exposure</w:t>
            </w:r>
          </w:p>
          <w:p w:rsidR="00175B33" w:rsidRPr="009C21D9" w:rsidRDefault="00175B33" w:rsidP="00175B33">
            <w:pPr>
              <w:pStyle w:val="ListParagraph"/>
              <w:numPr>
                <w:ilvl w:val="0"/>
                <w:numId w:val="12"/>
              </w:numPr>
              <w:rPr>
                <w:sz w:val="20"/>
                <w:szCs w:val="20"/>
              </w:rPr>
            </w:pPr>
            <w:r w:rsidRPr="009C21D9">
              <w:rPr>
                <w:sz w:val="20"/>
                <w:szCs w:val="20"/>
              </w:rPr>
              <w:t>Marital history</w:t>
            </w:r>
          </w:p>
          <w:p w:rsidR="00175B33" w:rsidRPr="009C21D9" w:rsidRDefault="00175B33" w:rsidP="00175B33">
            <w:pPr>
              <w:pStyle w:val="ListParagraph"/>
              <w:numPr>
                <w:ilvl w:val="0"/>
                <w:numId w:val="12"/>
              </w:numPr>
              <w:rPr>
                <w:sz w:val="20"/>
                <w:szCs w:val="20"/>
              </w:rPr>
            </w:pPr>
            <w:r w:rsidRPr="009C21D9">
              <w:rPr>
                <w:sz w:val="20"/>
                <w:szCs w:val="20"/>
              </w:rPr>
              <w:t>Number of children</w:t>
            </w:r>
          </w:p>
          <w:p w:rsidR="00175B33" w:rsidRPr="009C21D9" w:rsidRDefault="00175B33" w:rsidP="00175B33">
            <w:pPr>
              <w:pStyle w:val="ListParagraph"/>
              <w:numPr>
                <w:ilvl w:val="0"/>
                <w:numId w:val="12"/>
              </w:numPr>
              <w:rPr>
                <w:sz w:val="20"/>
                <w:szCs w:val="20"/>
              </w:rPr>
            </w:pPr>
            <w:r w:rsidRPr="009C21D9">
              <w:rPr>
                <w:sz w:val="20"/>
                <w:szCs w:val="20"/>
              </w:rPr>
              <w:t>Currently pregnant</w:t>
            </w:r>
          </w:p>
          <w:p w:rsidR="00175B33" w:rsidRDefault="00175B33" w:rsidP="00175B33">
            <w:pPr>
              <w:pStyle w:val="ListParagraph"/>
              <w:numPr>
                <w:ilvl w:val="0"/>
                <w:numId w:val="12"/>
              </w:numPr>
              <w:rPr>
                <w:sz w:val="20"/>
                <w:szCs w:val="20"/>
              </w:rPr>
            </w:pPr>
            <w:r w:rsidRPr="009C21D9">
              <w:rPr>
                <w:sz w:val="20"/>
                <w:szCs w:val="20"/>
              </w:rPr>
              <w:t>Desired number of children</w:t>
            </w:r>
          </w:p>
          <w:p w:rsidR="009C21D9" w:rsidRPr="009C21D9" w:rsidRDefault="009C21D9" w:rsidP="00175B33">
            <w:pPr>
              <w:pStyle w:val="ListParagraph"/>
              <w:numPr>
                <w:ilvl w:val="0"/>
                <w:numId w:val="12"/>
              </w:numPr>
              <w:rPr>
                <w:sz w:val="20"/>
                <w:szCs w:val="20"/>
              </w:rPr>
            </w:pPr>
            <w:r>
              <w:rPr>
                <w:sz w:val="20"/>
                <w:szCs w:val="20"/>
              </w:rPr>
              <w:t>Domestic violence</w:t>
            </w:r>
            <w:r w:rsidR="00212997">
              <w:rPr>
                <w:sz w:val="20"/>
                <w:szCs w:val="20"/>
              </w:rPr>
              <w:t>/ intra-household conflict</w:t>
            </w:r>
          </w:p>
        </w:tc>
      </w:tr>
      <w:tr w:rsidR="00175B33" w:rsidTr="00175B33">
        <w:tc>
          <w:tcPr>
            <w:tcW w:w="1818" w:type="dxa"/>
          </w:tcPr>
          <w:p w:rsidR="00175B33" w:rsidRPr="009C21D9" w:rsidRDefault="00175B33" w:rsidP="006F3029">
            <w:pPr>
              <w:rPr>
                <w:sz w:val="20"/>
                <w:szCs w:val="20"/>
              </w:rPr>
            </w:pPr>
            <w:r w:rsidRPr="009C21D9">
              <w:rPr>
                <w:sz w:val="20"/>
                <w:szCs w:val="20"/>
              </w:rPr>
              <w:t>Reproductive health</w:t>
            </w:r>
          </w:p>
        </w:tc>
        <w:tc>
          <w:tcPr>
            <w:tcW w:w="7380" w:type="dxa"/>
          </w:tcPr>
          <w:p w:rsidR="00175B33" w:rsidRDefault="009C21D9" w:rsidP="009C21D9">
            <w:pPr>
              <w:pStyle w:val="ListParagraph"/>
              <w:numPr>
                <w:ilvl w:val="0"/>
                <w:numId w:val="15"/>
              </w:numPr>
              <w:rPr>
                <w:sz w:val="20"/>
                <w:szCs w:val="20"/>
              </w:rPr>
            </w:pPr>
            <w:r>
              <w:rPr>
                <w:sz w:val="20"/>
                <w:szCs w:val="20"/>
              </w:rPr>
              <w:t>Knowledge and use of contraception</w:t>
            </w:r>
          </w:p>
          <w:p w:rsidR="009C21D9" w:rsidRPr="009C21D9" w:rsidRDefault="009C21D9" w:rsidP="009C21D9">
            <w:pPr>
              <w:pStyle w:val="ListParagraph"/>
              <w:numPr>
                <w:ilvl w:val="0"/>
                <w:numId w:val="15"/>
              </w:numPr>
              <w:rPr>
                <w:sz w:val="20"/>
                <w:szCs w:val="20"/>
              </w:rPr>
            </w:pPr>
            <w:r>
              <w:rPr>
                <w:sz w:val="20"/>
                <w:szCs w:val="20"/>
              </w:rPr>
              <w:t>Knowledge of HIV/AIDS and other sexually-transmitted infections</w:t>
            </w:r>
          </w:p>
        </w:tc>
      </w:tr>
      <w:tr w:rsidR="009C21D9" w:rsidTr="00175B33">
        <w:tc>
          <w:tcPr>
            <w:tcW w:w="1818" w:type="dxa"/>
          </w:tcPr>
          <w:p w:rsidR="009C21D9" w:rsidRPr="009C21D9" w:rsidRDefault="009C21D9" w:rsidP="006F3029">
            <w:pPr>
              <w:rPr>
                <w:sz w:val="20"/>
                <w:szCs w:val="20"/>
              </w:rPr>
            </w:pPr>
            <w:r w:rsidRPr="009C21D9">
              <w:rPr>
                <w:sz w:val="20"/>
                <w:szCs w:val="20"/>
              </w:rPr>
              <w:t>Nutrition</w:t>
            </w:r>
          </w:p>
        </w:tc>
        <w:tc>
          <w:tcPr>
            <w:tcW w:w="7380" w:type="dxa"/>
          </w:tcPr>
          <w:p w:rsidR="009C21D9" w:rsidRPr="009C21D9" w:rsidRDefault="009C21D9" w:rsidP="009C21D9">
            <w:pPr>
              <w:pStyle w:val="ListParagraph"/>
              <w:numPr>
                <w:ilvl w:val="0"/>
                <w:numId w:val="14"/>
              </w:numPr>
              <w:rPr>
                <w:sz w:val="20"/>
                <w:szCs w:val="20"/>
              </w:rPr>
            </w:pPr>
            <w:r w:rsidRPr="009C21D9">
              <w:rPr>
                <w:sz w:val="20"/>
                <w:szCs w:val="20"/>
              </w:rPr>
              <w:t>Knowledge of healthy nutrition practices</w:t>
            </w:r>
          </w:p>
          <w:p w:rsidR="009C21D9" w:rsidRPr="009C21D9" w:rsidRDefault="009C21D9" w:rsidP="009C21D9">
            <w:pPr>
              <w:pStyle w:val="ListParagraph"/>
              <w:numPr>
                <w:ilvl w:val="0"/>
                <w:numId w:val="14"/>
              </w:numPr>
              <w:rPr>
                <w:sz w:val="20"/>
                <w:szCs w:val="20"/>
              </w:rPr>
            </w:pPr>
            <w:r w:rsidRPr="009C21D9">
              <w:rPr>
                <w:sz w:val="20"/>
                <w:szCs w:val="20"/>
              </w:rPr>
              <w:t>Self-reported food security</w:t>
            </w:r>
          </w:p>
          <w:p w:rsidR="009C21D9" w:rsidRPr="009C21D9" w:rsidRDefault="009C21D9" w:rsidP="009C21D9">
            <w:pPr>
              <w:pStyle w:val="ListParagraph"/>
              <w:numPr>
                <w:ilvl w:val="0"/>
                <w:numId w:val="14"/>
              </w:numPr>
              <w:rPr>
                <w:sz w:val="20"/>
                <w:szCs w:val="20"/>
              </w:rPr>
            </w:pPr>
            <w:r w:rsidRPr="009C21D9">
              <w:rPr>
                <w:sz w:val="20"/>
                <w:szCs w:val="20"/>
              </w:rPr>
              <w:t>Self-reported consumption of various food groups</w:t>
            </w:r>
          </w:p>
        </w:tc>
      </w:tr>
      <w:tr w:rsidR="00175B33" w:rsidTr="00175B33">
        <w:tc>
          <w:tcPr>
            <w:tcW w:w="1818" w:type="dxa"/>
          </w:tcPr>
          <w:p w:rsidR="00175B33" w:rsidRPr="009C21D9" w:rsidRDefault="00175B33" w:rsidP="006F3029">
            <w:pPr>
              <w:rPr>
                <w:sz w:val="20"/>
                <w:szCs w:val="20"/>
              </w:rPr>
            </w:pPr>
            <w:r w:rsidRPr="009C21D9">
              <w:rPr>
                <w:sz w:val="20"/>
                <w:szCs w:val="20"/>
              </w:rPr>
              <w:t>Household Characteristics</w:t>
            </w:r>
            <w:r w:rsidR="00A2348C">
              <w:rPr>
                <w:sz w:val="20"/>
                <w:szCs w:val="20"/>
              </w:rPr>
              <w:t xml:space="preserve"> and spillovers</w:t>
            </w:r>
          </w:p>
        </w:tc>
        <w:tc>
          <w:tcPr>
            <w:tcW w:w="7380" w:type="dxa"/>
          </w:tcPr>
          <w:p w:rsidR="00175B33" w:rsidRPr="009C21D9" w:rsidRDefault="009C21D9" w:rsidP="009C21D9">
            <w:pPr>
              <w:pStyle w:val="ListParagraph"/>
              <w:numPr>
                <w:ilvl w:val="0"/>
                <w:numId w:val="13"/>
              </w:numPr>
              <w:rPr>
                <w:sz w:val="20"/>
                <w:szCs w:val="20"/>
              </w:rPr>
            </w:pPr>
            <w:r w:rsidRPr="009C21D9">
              <w:rPr>
                <w:sz w:val="20"/>
                <w:szCs w:val="20"/>
              </w:rPr>
              <w:t>Household size</w:t>
            </w:r>
          </w:p>
          <w:p w:rsidR="009C21D9" w:rsidRDefault="009C21D9" w:rsidP="009C21D9">
            <w:pPr>
              <w:pStyle w:val="ListParagraph"/>
              <w:numPr>
                <w:ilvl w:val="0"/>
                <w:numId w:val="13"/>
              </w:numPr>
              <w:rPr>
                <w:sz w:val="20"/>
                <w:szCs w:val="20"/>
              </w:rPr>
            </w:pPr>
            <w:r w:rsidRPr="009C21D9">
              <w:rPr>
                <w:sz w:val="20"/>
                <w:szCs w:val="20"/>
              </w:rPr>
              <w:t>Education and employment of all household members</w:t>
            </w:r>
          </w:p>
          <w:p w:rsidR="00A2348C" w:rsidRDefault="00A2348C" w:rsidP="009C21D9">
            <w:pPr>
              <w:pStyle w:val="ListParagraph"/>
              <w:numPr>
                <w:ilvl w:val="0"/>
                <w:numId w:val="13"/>
              </w:numPr>
              <w:rPr>
                <w:sz w:val="20"/>
                <w:szCs w:val="20"/>
              </w:rPr>
            </w:pPr>
            <w:r>
              <w:rPr>
                <w:sz w:val="20"/>
                <w:szCs w:val="20"/>
              </w:rPr>
              <w:t>Asset ownership of household</w:t>
            </w:r>
          </w:p>
          <w:p w:rsidR="00A2348C" w:rsidRPr="009C21D9" w:rsidRDefault="00A2348C" w:rsidP="009C21D9">
            <w:pPr>
              <w:pStyle w:val="ListParagraph"/>
              <w:numPr>
                <w:ilvl w:val="0"/>
                <w:numId w:val="13"/>
              </w:numPr>
              <w:rPr>
                <w:sz w:val="20"/>
                <w:szCs w:val="20"/>
              </w:rPr>
            </w:pPr>
            <w:r>
              <w:rPr>
                <w:sz w:val="20"/>
                <w:szCs w:val="20"/>
              </w:rPr>
              <w:t>Housing characteristics</w:t>
            </w:r>
          </w:p>
          <w:p w:rsidR="009C21D9" w:rsidRPr="009C21D9" w:rsidRDefault="009C21D9" w:rsidP="009C21D9">
            <w:pPr>
              <w:pStyle w:val="ListParagraph"/>
              <w:numPr>
                <w:ilvl w:val="0"/>
                <w:numId w:val="13"/>
              </w:numPr>
              <w:rPr>
                <w:sz w:val="20"/>
                <w:szCs w:val="20"/>
              </w:rPr>
            </w:pPr>
            <w:r w:rsidRPr="009C21D9">
              <w:rPr>
                <w:sz w:val="20"/>
                <w:szCs w:val="20"/>
              </w:rPr>
              <w:t>Food security of household</w:t>
            </w:r>
          </w:p>
        </w:tc>
      </w:tr>
      <w:tr w:rsidR="00175B33" w:rsidTr="00175B33">
        <w:tc>
          <w:tcPr>
            <w:tcW w:w="1818" w:type="dxa"/>
          </w:tcPr>
          <w:p w:rsidR="00175B33" w:rsidRPr="009C21D9" w:rsidRDefault="00175B33" w:rsidP="006F3029">
            <w:pPr>
              <w:rPr>
                <w:sz w:val="20"/>
                <w:szCs w:val="20"/>
              </w:rPr>
            </w:pPr>
            <w:r w:rsidRPr="009C21D9">
              <w:rPr>
                <w:sz w:val="20"/>
                <w:szCs w:val="20"/>
              </w:rPr>
              <w:t>Family Support and Attitudes</w:t>
            </w:r>
          </w:p>
        </w:tc>
        <w:tc>
          <w:tcPr>
            <w:tcW w:w="7380" w:type="dxa"/>
          </w:tcPr>
          <w:p w:rsidR="00175B33" w:rsidRDefault="00A2348C" w:rsidP="00A2348C">
            <w:pPr>
              <w:pStyle w:val="ListParagraph"/>
              <w:numPr>
                <w:ilvl w:val="0"/>
                <w:numId w:val="16"/>
              </w:numPr>
              <w:rPr>
                <w:sz w:val="20"/>
                <w:szCs w:val="20"/>
              </w:rPr>
            </w:pPr>
            <w:r>
              <w:rPr>
                <w:sz w:val="20"/>
                <w:szCs w:val="20"/>
              </w:rPr>
              <w:t>Expectations of young female household members</w:t>
            </w:r>
          </w:p>
          <w:p w:rsidR="00A2348C" w:rsidRPr="00A2348C" w:rsidRDefault="00A2348C" w:rsidP="00A2348C">
            <w:pPr>
              <w:pStyle w:val="ListParagraph"/>
              <w:numPr>
                <w:ilvl w:val="0"/>
                <w:numId w:val="16"/>
              </w:numPr>
              <w:rPr>
                <w:sz w:val="20"/>
                <w:szCs w:val="20"/>
              </w:rPr>
            </w:pPr>
            <w:r>
              <w:rPr>
                <w:sz w:val="20"/>
                <w:szCs w:val="20"/>
              </w:rPr>
              <w:t xml:space="preserve">Attitudes toward gender roles within the household </w:t>
            </w:r>
          </w:p>
        </w:tc>
      </w:tr>
    </w:tbl>
    <w:p w:rsidR="000D014B" w:rsidRDefault="000D014B" w:rsidP="000D014B"/>
    <w:p w:rsidR="008D1434" w:rsidRDefault="008D1434">
      <w:pPr>
        <w:spacing w:after="0"/>
      </w:pPr>
    </w:p>
    <w:sectPr w:rsidR="008D1434" w:rsidSect="00646A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89" w:rsidRDefault="004F0D89" w:rsidP="006A16C3">
      <w:pPr>
        <w:spacing w:after="0" w:line="240" w:lineRule="auto"/>
      </w:pPr>
      <w:r>
        <w:separator/>
      </w:r>
    </w:p>
  </w:endnote>
  <w:endnote w:type="continuationSeparator" w:id="0">
    <w:p w:rsidR="004F0D89" w:rsidRDefault="004F0D89" w:rsidP="006A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RM1095">
    <w:panose1 w:val="00000000000000000000"/>
    <w:charset w:val="00"/>
    <w:family w:val="auto"/>
    <w:notTrueType/>
    <w:pitch w:val="default"/>
    <w:sig w:usb0="00000003" w:usb1="00000000" w:usb2="00000000" w:usb3="00000000" w:csb0="00000001" w:csb1="00000000"/>
  </w:font>
  <w:font w:name="SFTI1095">
    <w:panose1 w:val="00000000000000000000"/>
    <w:charset w:val="00"/>
    <w:family w:val="auto"/>
    <w:notTrueType/>
    <w:pitch w:val="default"/>
    <w:sig w:usb0="00000003" w:usb1="00000000" w:usb2="00000000" w:usb3="00000000" w:csb0="00000001" w:csb1="00000000"/>
  </w:font>
  <w:font w:name="MaximusLTStd">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Sans">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89" w:rsidRDefault="004F0D89" w:rsidP="006A16C3">
      <w:pPr>
        <w:spacing w:after="0" w:line="240" w:lineRule="auto"/>
      </w:pPr>
      <w:r>
        <w:separator/>
      </w:r>
    </w:p>
  </w:footnote>
  <w:footnote w:type="continuationSeparator" w:id="0">
    <w:p w:rsidR="004F0D89" w:rsidRDefault="004F0D89" w:rsidP="006A16C3">
      <w:pPr>
        <w:spacing w:after="0" w:line="240" w:lineRule="auto"/>
      </w:pPr>
      <w:r>
        <w:continuationSeparator/>
      </w:r>
    </w:p>
  </w:footnote>
  <w:footnote w:id="1">
    <w:p w:rsidR="002B1BB6" w:rsidRDefault="002B1BB6">
      <w:pPr>
        <w:pStyle w:val="FootnoteText"/>
      </w:pPr>
      <w:r>
        <w:rPr>
          <w:rStyle w:val="FootnoteReference"/>
        </w:rPr>
        <w:footnoteRef/>
      </w:r>
      <w:r>
        <w:t xml:space="preserve"> </w:t>
      </w:r>
      <w:r w:rsidR="009E604D">
        <w:t>To make best use of existing capacities,</w:t>
      </w:r>
      <w:r>
        <w:t xml:space="preserve"> the FYEI project</w:t>
      </w:r>
      <w:r w:rsidR="009E604D">
        <w:t xml:space="preserve"> was designed to collaborate</w:t>
      </w:r>
      <w:r>
        <w:t xml:space="preserve"> closely with </w:t>
      </w:r>
      <w:r w:rsidR="009E604D">
        <w:t>the</w:t>
      </w:r>
      <w:r>
        <w:t xml:space="preserve"> existing World Bank EQUIP project, based in the M</w:t>
      </w:r>
      <w:r w:rsidR="009E604D">
        <w:t>inistry of Education, which is experienced in</w:t>
      </w:r>
      <w:r>
        <w:t xml:space="preserve"> work</w:t>
      </w:r>
      <w:r w:rsidR="009E604D">
        <w:t>ing</w:t>
      </w:r>
      <w:r>
        <w:t xml:space="preserve"> with school management </w:t>
      </w:r>
      <w:proofErr w:type="spellStart"/>
      <w:r>
        <w:t>shuras</w:t>
      </w:r>
      <w:proofErr w:type="spellEnd"/>
      <w:r>
        <w:t xml:space="preserve"> through its Social Mobilization Unit (SMU</w:t>
      </w:r>
      <w:r w:rsidR="009E604D">
        <w:t>)</w:t>
      </w:r>
      <w:r>
        <w:t xml:space="preserve">. The project staff hired to work on FYEI sit within the MOE’s EQUIP project implementation unit and EQUIP’s provincial office in Balkh. </w:t>
      </w:r>
    </w:p>
  </w:footnote>
  <w:footnote w:id="2">
    <w:p w:rsidR="006A16C3" w:rsidRDefault="006A16C3">
      <w:pPr>
        <w:pStyle w:val="FootnoteText"/>
      </w:pPr>
      <w:r>
        <w:rPr>
          <w:rStyle w:val="FootnoteReference"/>
        </w:rPr>
        <w:footnoteRef/>
      </w:r>
      <w:r>
        <w:t xml:space="preserve"> The choice of trades will be finalized </w:t>
      </w:r>
      <w:r w:rsidR="002B1BB6">
        <w:t>after</w:t>
      </w:r>
      <w:r>
        <w:t xml:space="preserve"> the social marketing survey conducted under the project’s first component, but </w:t>
      </w:r>
      <w:r w:rsidR="002B1BB6">
        <w:t>is</w:t>
      </w:r>
      <w:r>
        <w:t xml:space="preserve"> expected to include: office administration, computer literacy, English language, </w:t>
      </w:r>
      <w:r w:rsidR="002B1BB6">
        <w:t xml:space="preserve">and </w:t>
      </w:r>
      <w:r>
        <w:t xml:space="preserve">accounting. </w:t>
      </w:r>
    </w:p>
  </w:footnote>
  <w:footnote w:id="3">
    <w:p w:rsidR="00E01729" w:rsidRDefault="00E01729">
      <w:pPr>
        <w:pStyle w:val="FootnoteText"/>
      </w:pPr>
      <w:r>
        <w:rPr>
          <w:rStyle w:val="FootnoteReference"/>
        </w:rPr>
        <w:footnoteRef/>
      </w:r>
      <w:r>
        <w:t xml:space="preserve"> The impact evaluation is </w:t>
      </w:r>
      <w:r w:rsidRPr="002C75E5">
        <w:t xml:space="preserve">funded separately </w:t>
      </w:r>
      <w:r>
        <w:t xml:space="preserve">from the project </w:t>
      </w:r>
      <w:r w:rsidRPr="002C75E5">
        <w:t>through Bank-Executed resources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1C00"/>
    <w:multiLevelType w:val="hybridMultilevel"/>
    <w:tmpl w:val="C5B2D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42667"/>
    <w:multiLevelType w:val="hybridMultilevel"/>
    <w:tmpl w:val="FC9A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A77DD"/>
    <w:multiLevelType w:val="hybridMultilevel"/>
    <w:tmpl w:val="5D90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7B70BE"/>
    <w:multiLevelType w:val="hybridMultilevel"/>
    <w:tmpl w:val="DC7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5D6FEF"/>
    <w:multiLevelType w:val="hybridMultilevel"/>
    <w:tmpl w:val="E262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D6114C"/>
    <w:multiLevelType w:val="hybridMultilevel"/>
    <w:tmpl w:val="78748886"/>
    <w:lvl w:ilvl="0" w:tplc="16F4E088">
      <w:start w:val="1"/>
      <w:numFmt w:val="decimal"/>
      <w:lvlText w:val="%1."/>
      <w:lvlJc w:val="left"/>
      <w:pPr>
        <w:tabs>
          <w:tab w:val="num" w:pos="720"/>
        </w:tabs>
        <w:ind w:left="720" w:hanging="360"/>
      </w:pPr>
    </w:lvl>
    <w:lvl w:ilvl="1" w:tplc="7624BE20" w:tentative="1">
      <w:start w:val="1"/>
      <w:numFmt w:val="decimal"/>
      <w:lvlText w:val="%2."/>
      <w:lvlJc w:val="left"/>
      <w:pPr>
        <w:tabs>
          <w:tab w:val="num" w:pos="1440"/>
        </w:tabs>
        <w:ind w:left="1440" w:hanging="360"/>
      </w:pPr>
    </w:lvl>
    <w:lvl w:ilvl="2" w:tplc="7D000410" w:tentative="1">
      <w:start w:val="1"/>
      <w:numFmt w:val="decimal"/>
      <w:lvlText w:val="%3."/>
      <w:lvlJc w:val="left"/>
      <w:pPr>
        <w:tabs>
          <w:tab w:val="num" w:pos="2160"/>
        </w:tabs>
        <w:ind w:left="2160" w:hanging="360"/>
      </w:pPr>
    </w:lvl>
    <w:lvl w:ilvl="3" w:tplc="2700B21C" w:tentative="1">
      <w:start w:val="1"/>
      <w:numFmt w:val="decimal"/>
      <w:lvlText w:val="%4."/>
      <w:lvlJc w:val="left"/>
      <w:pPr>
        <w:tabs>
          <w:tab w:val="num" w:pos="2880"/>
        </w:tabs>
        <w:ind w:left="2880" w:hanging="360"/>
      </w:pPr>
    </w:lvl>
    <w:lvl w:ilvl="4" w:tplc="669CDB3E" w:tentative="1">
      <w:start w:val="1"/>
      <w:numFmt w:val="decimal"/>
      <w:lvlText w:val="%5."/>
      <w:lvlJc w:val="left"/>
      <w:pPr>
        <w:tabs>
          <w:tab w:val="num" w:pos="3600"/>
        </w:tabs>
        <w:ind w:left="3600" w:hanging="360"/>
      </w:pPr>
    </w:lvl>
    <w:lvl w:ilvl="5" w:tplc="70E6C9D6" w:tentative="1">
      <w:start w:val="1"/>
      <w:numFmt w:val="decimal"/>
      <w:lvlText w:val="%6."/>
      <w:lvlJc w:val="left"/>
      <w:pPr>
        <w:tabs>
          <w:tab w:val="num" w:pos="4320"/>
        </w:tabs>
        <w:ind w:left="4320" w:hanging="360"/>
      </w:pPr>
    </w:lvl>
    <w:lvl w:ilvl="6" w:tplc="C4A8FBA8" w:tentative="1">
      <w:start w:val="1"/>
      <w:numFmt w:val="decimal"/>
      <w:lvlText w:val="%7."/>
      <w:lvlJc w:val="left"/>
      <w:pPr>
        <w:tabs>
          <w:tab w:val="num" w:pos="5040"/>
        </w:tabs>
        <w:ind w:left="5040" w:hanging="360"/>
      </w:pPr>
    </w:lvl>
    <w:lvl w:ilvl="7" w:tplc="FAA2DF32" w:tentative="1">
      <w:start w:val="1"/>
      <w:numFmt w:val="decimal"/>
      <w:lvlText w:val="%8."/>
      <w:lvlJc w:val="left"/>
      <w:pPr>
        <w:tabs>
          <w:tab w:val="num" w:pos="5760"/>
        </w:tabs>
        <w:ind w:left="5760" w:hanging="360"/>
      </w:pPr>
    </w:lvl>
    <w:lvl w:ilvl="8" w:tplc="0A189336" w:tentative="1">
      <w:start w:val="1"/>
      <w:numFmt w:val="decimal"/>
      <w:lvlText w:val="%9."/>
      <w:lvlJc w:val="left"/>
      <w:pPr>
        <w:tabs>
          <w:tab w:val="num" w:pos="6480"/>
        </w:tabs>
        <w:ind w:left="6480" w:hanging="360"/>
      </w:pPr>
    </w:lvl>
  </w:abstractNum>
  <w:abstractNum w:abstractNumId="6">
    <w:nsid w:val="307F383C"/>
    <w:multiLevelType w:val="hybridMultilevel"/>
    <w:tmpl w:val="1F2E7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B0DE1"/>
    <w:multiLevelType w:val="hybridMultilevel"/>
    <w:tmpl w:val="3B08F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F85AB7"/>
    <w:multiLevelType w:val="hybridMultilevel"/>
    <w:tmpl w:val="F0626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E109EC"/>
    <w:multiLevelType w:val="hybridMultilevel"/>
    <w:tmpl w:val="3BE654E6"/>
    <w:lvl w:ilvl="0" w:tplc="7A84A93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2893278"/>
    <w:multiLevelType w:val="hybridMultilevel"/>
    <w:tmpl w:val="E4AA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287594"/>
    <w:multiLevelType w:val="hybridMultilevel"/>
    <w:tmpl w:val="13923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6640B7"/>
    <w:multiLevelType w:val="hybridMultilevel"/>
    <w:tmpl w:val="CD8C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18063A"/>
    <w:multiLevelType w:val="hybridMultilevel"/>
    <w:tmpl w:val="332A3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7B3BC2"/>
    <w:multiLevelType w:val="hybridMultilevel"/>
    <w:tmpl w:val="B26C6CA8"/>
    <w:lvl w:ilvl="0" w:tplc="B296B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E1C7B"/>
    <w:multiLevelType w:val="hybridMultilevel"/>
    <w:tmpl w:val="B142A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5"/>
  </w:num>
  <w:num w:numId="4">
    <w:abstractNumId w:val="5"/>
  </w:num>
  <w:num w:numId="5">
    <w:abstractNumId w:val="8"/>
  </w:num>
  <w:num w:numId="6">
    <w:abstractNumId w:val="7"/>
  </w:num>
  <w:num w:numId="7">
    <w:abstractNumId w:val="12"/>
  </w:num>
  <w:num w:numId="8">
    <w:abstractNumId w:val="3"/>
  </w:num>
  <w:num w:numId="9">
    <w:abstractNumId w:val="0"/>
  </w:num>
  <w:num w:numId="10">
    <w:abstractNumId w:val="2"/>
  </w:num>
  <w:num w:numId="11">
    <w:abstractNumId w:val="10"/>
  </w:num>
  <w:num w:numId="12">
    <w:abstractNumId w:val="13"/>
  </w:num>
  <w:num w:numId="13">
    <w:abstractNumId w:val="11"/>
  </w:num>
  <w:num w:numId="14">
    <w:abstractNumId w:val="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C7EAA"/>
    <w:rsid w:val="00000AE0"/>
    <w:rsid w:val="000020E1"/>
    <w:rsid w:val="00002567"/>
    <w:rsid w:val="000026F5"/>
    <w:rsid w:val="000031E3"/>
    <w:rsid w:val="00003AB2"/>
    <w:rsid w:val="00005D88"/>
    <w:rsid w:val="00006763"/>
    <w:rsid w:val="0000732D"/>
    <w:rsid w:val="00010666"/>
    <w:rsid w:val="00010C10"/>
    <w:rsid w:val="00010F7B"/>
    <w:rsid w:val="0001135F"/>
    <w:rsid w:val="00012273"/>
    <w:rsid w:val="0001363E"/>
    <w:rsid w:val="000143A8"/>
    <w:rsid w:val="0001478E"/>
    <w:rsid w:val="00016399"/>
    <w:rsid w:val="000166EE"/>
    <w:rsid w:val="00016AE1"/>
    <w:rsid w:val="000172D8"/>
    <w:rsid w:val="00020F41"/>
    <w:rsid w:val="00021170"/>
    <w:rsid w:val="00023B23"/>
    <w:rsid w:val="000244CB"/>
    <w:rsid w:val="000257EF"/>
    <w:rsid w:val="00026044"/>
    <w:rsid w:val="00026A41"/>
    <w:rsid w:val="000278B7"/>
    <w:rsid w:val="00027B37"/>
    <w:rsid w:val="000309F7"/>
    <w:rsid w:val="00031AFA"/>
    <w:rsid w:val="00032683"/>
    <w:rsid w:val="00032DDF"/>
    <w:rsid w:val="000341EF"/>
    <w:rsid w:val="0003464A"/>
    <w:rsid w:val="00034B4B"/>
    <w:rsid w:val="00040729"/>
    <w:rsid w:val="000409F1"/>
    <w:rsid w:val="000418E3"/>
    <w:rsid w:val="0004246E"/>
    <w:rsid w:val="000432C8"/>
    <w:rsid w:val="00043469"/>
    <w:rsid w:val="00043F20"/>
    <w:rsid w:val="00046E7E"/>
    <w:rsid w:val="00047960"/>
    <w:rsid w:val="00051683"/>
    <w:rsid w:val="00051D49"/>
    <w:rsid w:val="000539C7"/>
    <w:rsid w:val="00055233"/>
    <w:rsid w:val="00056C7F"/>
    <w:rsid w:val="00057160"/>
    <w:rsid w:val="000659DE"/>
    <w:rsid w:val="00066025"/>
    <w:rsid w:val="00066B1B"/>
    <w:rsid w:val="00066C1E"/>
    <w:rsid w:val="000673FA"/>
    <w:rsid w:val="00070126"/>
    <w:rsid w:val="00071F01"/>
    <w:rsid w:val="00074A7E"/>
    <w:rsid w:val="00075802"/>
    <w:rsid w:val="00075EEE"/>
    <w:rsid w:val="00082872"/>
    <w:rsid w:val="00086B63"/>
    <w:rsid w:val="00087975"/>
    <w:rsid w:val="0009014B"/>
    <w:rsid w:val="00090DB3"/>
    <w:rsid w:val="000917EB"/>
    <w:rsid w:val="00095CB5"/>
    <w:rsid w:val="000967E4"/>
    <w:rsid w:val="00096AE1"/>
    <w:rsid w:val="00097859"/>
    <w:rsid w:val="000A0FC6"/>
    <w:rsid w:val="000A1E53"/>
    <w:rsid w:val="000A3003"/>
    <w:rsid w:val="000A4EE7"/>
    <w:rsid w:val="000A7FCC"/>
    <w:rsid w:val="000B1E0D"/>
    <w:rsid w:val="000B32C6"/>
    <w:rsid w:val="000B3BFA"/>
    <w:rsid w:val="000B4DF4"/>
    <w:rsid w:val="000B59E0"/>
    <w:rsid w:val="000B6420"/>
    <w:rsid w:val="000B6F26"/>
    <w:rsid w:val="000B7755"/>
    <w:rsid w:val="000C4877"/>
    <w:rsid w:val="000C4E72"/>
    <w:rsid w:val="000C6B46"/>
    <w:rsid w:val="000D009C"/>
    <w:rsid w:val="000D014B"/>
    <w:rsid w:val="000D0647"/>
    <w:rsid w:val="000D1684"/>
    <w:rsid w:val="000D5D0A"/>
    <w:rsid w:val="000D6848"/>
    <w:rsid w:val="000E0A75"/>
    <w:rsid w:val="000E2F2F"/>
    <w:rsid w:val="000E3008"/>
    <w:rsid w:val="000E4F85"/>
    <w:rsid w:val="000F1EE8"/>
    <w:rsid w:val="000F2128"/>
    <w:rsid w:val="000F28F1"/>
    <w:rsid w:val="000F2F96"/>
    <w:rsid w:val="000F33F1"/>
    <w:rsid w:val="000F3AF7"/>
    <w:rsid w:val="000F3C96"/>
    <w:rsid w:val="000F510D"/>
    <w:rsid w:val="000F545C"/>
    <w:rsid w:val="000F5CA0"/>
    <w:rsid w:val="000F5EA9"/>
    <w:rsid w:val="00100581"/>
    <w:rsid w:val="00102373"/>
    <w:rsid w:val="001026D2"/>
    <w:rsid w:val="00103835"/>
    <w:rsid w:val="00104C17"/>
    <w:rsid w:val="0010605C"/>
    <w:rsid w:val="00107DD3"/>
    <w:rsid w:val="00110C10"/>
    <w:rsid w:val="00110F83"/>
    <w:rsid w:val="00115CCB"/>
    <w:rsid w:val="001162C9"/>
    <w:rsid w:val="00120DB3"/>
    <w:rsid w:val="00123BAD"/>
    <w:rsid w:val="00124746"/>
    <w:rsid w:val="001249B8"/>
    <w:rsid w:val="00124CA6"/>
    <w:rsid w:val="001250B7"/>
    <w:rsid w:val="0013078A"/>
    <w:rsid w:val="00132709"/>
    <w:rsid w:val="001337B1"/>
    <w:rsid w:val="00134F81"/>
    <w:rsid w:val="001363CF"/>
    <w:rsid w:val="00137447"/>
    <w:rsid w:val="0013773A"/>
    <w:rsid w:val="0014024A"/>
    <w:rsid w:val="0014037F"/>
    <w:rsid w:val="00141B19"/>
    <w:rsid w:val="00144FE5"/>
    <w:rsid w:val="00145E4C"/>
    <w:rsid w:val="00146060"/>
    <w:rsid w:val="00146FC4"/>
    <w:rsid w:val="00147FB9"/>
    <w:rsid w:val="001537AF"/>
    <w:rsid w:val="0015554B"/>
    <w:rsid w:val="00155841"/>
    <w:rsid w:val="00155C6E"/>
    <w:rsid w:val="00160E0B"/>
    <w:rsid w:val="00165132"/>
    <w:rsid w:val="001655AA"/>
    <w:rsid w:val="00170385"/>
    <w:rsid w:val="00170DAC"/>
    <w:rsid w:val="00171572"/>
    <w:rsid w:val="00173D8E"/>
    <w:rsid w:val="0017436E"/>
    <w:rsid w:val="00175B33"/>
    <w:rsid w:val="001771E7"/>
    <w:rsid w:val="001777E1"/>
    <w:rsid w:val="00177F50"/>
    <w:rsid w:val="001848E4"/>
    <w:rsid w:val="00186381"/>
    <w:rsid w:val="00192DB0"/>
    <w:rsid w:val="001A023C"/>
    <w:rsid w:val="001A2833"/>
    <w:rsid w:val="001A478C"/>
    <w:rsid w:val="001A526D"/>
    <w:rsid w:val="001A644D"/>
    <w:rsid w:val="001A6BDE"/>
    <w:rsid w:val="001A6BF6"/>
    <w:rsid w:val="001B5376"/>
    <w:rsid w:val="001B5810"/>
    <w:rsid w:val="001B5BEF"/>
    <w:rsid w:val="001B5D7A"/>
    <w:rsid w:val="001B66AF"/>
    <w:rsid w:val="001B79A3"/>
    <w:rsid w:val="001B7D9D"/>
    <w:rsid w:val="001C0E24"/>
    <w:rsid w:val="001C1FAE"/>
    <w:rsid w:val="001C4A5E"/>
    <w:rsid w:val="001D058F"/>
    <w:rsid w:val="001D2068"/>
    <w:rsid w:val="001D2549"/>
    <w:rsid w:val="001D3D4A"/>
    <w:rsid w:val="001D6B70"/>
    <w:rsid w:val="001D6E26"/>
    <w:rsid w:val="001E1939"/>
    <w:rsid w:val="001E4C50"/>
    <w:rsid w:val="001E7AD9"/>
    <w:rsid w:val="001F003A"/>
    <w:rsid w:val="001F2E6E"/>
    <w:rsid w:val="001F36C5"/>
    <w:rsid w:val="001F3C96"/>
    <w:rsid w:val="001F413A"/>
    <w:rsid w:val="001F54DC"/>
    <w:rsid w:val="001F70B3"/>
    <w:rsid w:val="001F7194"/>
    <w:rsid w:val="002050C1"/>
    <w:rsid w:val="002052E4"/>
    <w:rsid w:val="00205481"/>
    <w:rsid w:val="0020549F"/>
    <w:rsid w:val="00212997"/>
    <w:rsid w:val="00221CF1"/>
    <w:rsid w:val="002225EC"/>
    <w:rsid w:val="002227DA"/>
    <w:rsid w:val="00222851"/>
    <w:rsid w:val="00224843"/>
    <w:rsid w:val="00224DB3"/>
    <w:rsid w:val="00225A7E"/>
    <w:rsid w:val="00226E6C"/>
    <w:rsid w:val="00230158"/>
    <w:rsid w:val="002310BD"/>
    <w:rsid w:val="002323FA"/>
    <w:rsid w:val="002342CC"/>
    <w:rsid w:val="00234768"/>
    <w:rsid w:val="00236239"/>
    <w:rsid w:val="00236394"/>
    <w:rsid w:val="00236CE7"/>
    <w:rsid w:val="00237210"/>
    <w:rsid w:val="00245F52"/>
    <w:rsid w:val="00247177"/>
    <w:rsid w:val="00251B35"/>
    <w:rsid w:val="002541F9"/>
    <w:rsid w:val="00254CAB"/>
    <w:rsid w:val="00254CC4"/>
    <w:rsid w:val="0025550C"/>
    <w:rsid w:val="00255C11"/>
    <w:rsid w:val="0025652E"/>
    <w:rsid w:val="00256F42"/>
    <w:rsid w:val="00257505"/>
    <w:rsid w:val="00260212"/>
    <w:rsid w:val="002615E6"/>
    <w:rsid w:val="0026388E"/>
    <w:rsid w:val="00264DC6"/>
    <w:rsid w:val="00265BF4"/>
    <w:rsid w:val="00265CD3"/>
    <w:rsid w:val="00265E24"/>
    <w:rsid w:val="00271307"/>
    <w:rsid w:val="00273159"/>
    <w:rsid w:val="00274166"/>
    <w:rsid w:val="00274535"/>
    <w:rsid w:val="002750DF"/>
    <w:rsid w:val="00275E27"/>
    <w:rsid w:val="00276A01"/>
    <w:rsid w:val="00276BAD"/>
    <w:rsid w:val="00281752"/>
    <w:rsid w:val="002827C7"/>
    <w:rsid w:val="00283225"/>
    <w:rsid w:val="00285C6F"/>
    <w:rsid w:val="002877BA"/>
    <w:rsid w:val="002879DA"/>
    <w:rsid w:val="0029060D"/>
    <w:rsid w:val="00292A37"/>
    <w:rsid w:val="00292FFF"/>
    <w:rsid w:val="0029394C"/>
    <w:rsid w:val="00293B25"/>
    <w:rsid w:val="00294755"/>
    <w:rsid w:val="00295338"/>
    <w:rsid w:val="002968AB"/>
    <w:rsid w:val="00297296"/>
    <w:rsid w:val="002A0C94"/>
    <w:rsid w:val="002A1E14"/>
    <w:rsid w:val="002A396F"/>
    <w:rsid w:val="002A3E34"/>
    <w:rsid w:val="002A46EC"/>
    <w:rsid w:val="002A4A79"/>
    <w:rsid w:val="002A7012"/>
    <w:rsid w:val="002B1BB6"/>
    <w:rsid w:val="002B5478"/>
    <w:rsid w:val="002B5E9D"/>
    <w:rsid w:val="002B6BA4"/>
    <w:rsid w:val="002C09B8"/>
    <w:rsid w:val="002C0B3F"/>
    <w:rsid w:val="002C0EBD"/>
    <w:rsid w:val="002C29DD"/>
    <w:rsid w:val="002C3E27"/>
    <w:rsid w:val="002C4472"/>
    <w:rsid w:val="002C5052"/>
    <w:rsid w:val="002C7EAA"/>
    <w:rsid w:val="002D0374"/>
    <w:rsid w:val="002D6A55"/>
    <w:rsid w:val="002D7341"/>
    <w:rsid w:val="002D74D1"/>
    <w:rsid w:val="002E17BA"/>
    <w:rsid w:val="002E1924"/>
    <w:rsid w:val="002E2176"/>
    <w:rsid w:val="002E269C"/>
    <w:rsid w:val="002E43D8"/>
    <w:rsid w:val="002E4C01"/>
    <w:rsid w:val="002E7A9B"/>
    <w:rsid w:val="002F13E5"/>
    <w:rsid w:val="002F1716"/>
    <w:rsid w:val="002F1CA1"/>
    <w:rsid w:val="002F4BA6"/>
    <w:rsid w:val="002F54AC"/>
    <w:rsid w:val="002F5BFA"/>
    <w:rsid w:val="002F6B2F"/>
    <w:rsid w:val="003025B2"/>
    <w:rsid w:val="00304EF7"/>
    <w:rsid w:val="00304FE4"/>
    <w:rsid w:val="00306ACA"/>
    <w:rsid w:val="00307817"/>
    <w:rsid w:val="00307AF1"/>
    <w:rsid w:val="0031007F"/>
    <w:rsid w:val="00311C2B"/>
    <w:rsid w:val="003120A8"/>
    <w:rsid w:val="00313213"/>
    <w:rsid w:val="00313547"/>
    <w:rsid w:val="00314D9B"/>
    <w:rsid w:val="003153EC"/>
    <w:rsid w:val="00316EA3"/>
    <w:rsid w:val="00320041"/>
    <w:rsid w:val="00320AAC"/>
    <w:rsid w:val="00321A0D"/>
    <w:rsid w:val="00321D29"/>
    <w:rsid w:val="00324A59"/>
    <w:rsid w:val="00325550"/>
    <w:rsid w:val="00325E61"/>
    <w:rsid w:val="00326622"/>
    <w:rsid w:val="00326983"/>
    <w:rsid w:val="003314E4"/>
    <w:rsid w:val="00334544"/>
    <w:rsid w:val="00341F78"/>
    <w:rsid w:val="00343670"/>
    <w:rsid w:val="00345564"/>
    <w:rsid w:val="003455F7"/>
    <w:rsid w:val="00346AB4"/>
    <w:rsid w:val="00346BD0"/>
    <w:rsid w:val="003477CE"/>
    <w:rsid w:val="003510FC"/>
    <w:rsid w:val="003517AC"/>
    <w:rsid w:val="00352770"/>
    <w:rsid w:val="00352A7A"/>
    <w:rsid w:val="00352D96"/>
    <w:rsid w:val="00352EB7"/>
    <w:rsid w:val="00352EE2"/>
    <w:rsid w:val="003532E9"/>
    <w:rsid w:val="0035592F"/>
    <w:rsid w:val="00355E13"/>
    <w:rsid w:val="003569B8"/>
    <w:rsid w:val="00356D77"/>
    <w:rsid w:val="0036031B"/>
    <w:rsid w:val="00360C93"/>
    <w:rsid w:val="00361907"/>
    <w:rsid w:val="0036279D"/>
    <w:rsid w:val="00364557"/>
    <w:rsid w:val="003667CF"/>
    <w:rsid w:val="0036694D"/>
    <w:rsid w:val="00370653"/>
    <w:rsid w:val="00371152"/>
    <w:rsid w:val="00371957"/>
    <w:rsid w:val="003766FA"/>
    <w:rsid w:val="003778C7"/>
    <w:rsid w:val="003849D2"/>
    <w:rsid w:val="003911C4"/>
    <w:rsid w:val="00395A95"/>
    <w:rsid w:val="00397EF1"/>
    <w:rsid w:val="003A2494"/>
    <w:rsid w:val="003A4BC3"/>
    <w:rsid w:val="003A4E0F"/>
    <w:rsid w:val="003B0815"/>
    <w:rsid w:val="003B0E85"/>
    <w:rsid w:val="003B143D"/>
    <w:rsid w:val="003B1638"/>
    <w:rsid w:val="003B1CD0"/>
    <w:rsid w:val="003B2F91"/>
    <w:rsid w:val="003B4644"/>
    <w:rsid w:val="003B7DE2"/>
    <w:rsid w:val="003C0A76"/>
    <w:rsid w:val="003C17D7"/>
    <w:rsid w:val="003C3492"/>
    <w:rsid w:val="003C3C86"/>
    <w:rsid w:val="003C4FF0"/>
    <w:rsid w:val="003C5C12"/>
    <w:rsid w:val="003C6AD1"/>
    <w:rsid w:val="003C6FFC"/>
    <w:rsid w:val="003D1695"/>
    <w:rsid w:val="003D323F"/>
    <w:rsid w:val="003D3B05"/>
    <w:rsid w:val="003D59B7"/>
    <w:rsid w:val="003D63BB"/>
    <w:rsid w:val="003D684F"/>
    <w:rsid w:val="003D69B6"/>
    <w:rsid w:val="003D6D6E"/>
    <w:rsid w:val="003D7F88"/>
    <w:rsid w:val="003E0F63"/>
    <w:rsid w:val="003E115E"/>
    <w:rsid w:val="003E1889"/>
    <w:rsid w:val="003E530D"/>
    <w:rsid w:val="003E5F1E"/>
    <w:rsid w:val="003E66D6"/>
    <w:rsid w:val="003E7B8B"/>
    <w:rsid w:val="003F162F"/>
    <w:rsid w:val="003F187A"/>
    <w:rsid w:val="003F206D"/>
    <w:rsid w:val="003F4B36"/>
    <w:rsid w:val="003F6D5C"/>
    <w:rsid w:val="003F7FA1"/>
    <w:rsid w:val="00400808"/>
    <w:rsid w:val="00401CD1"/>
    <w:rsid w:val="004040E5"/>
    <w:rsid w:val="00406B7C"/>
    <w:rsid w:val="00407490"/>
    <w:rsid w:val="00412F32"/>
    <w:rsid w:val="00413BB0"/>
    <w:rsid w:val="00414018"/>
    <w:rsid w:val="004140F0"/>
    <w:rsid w:val="0041423C"/>
    <w:rsid w:val="00416E36"/>
    <w:rsid w:val="004209C5"/>
    <w:rsid w:val="004217C9"/>
    <w:rsid w:val="00422EDA"/>
    <w:rsid w:val="0042429A"/>
    <w:rsid w:val="004248D6"/>
    <w:rsid w:val="00432A46"/>
    <w:rsid w:val="00433DB8"/>
    <w:rsid w:val="00433F38"/>
    <w:rsid w:val="004345D8"/>
    <w:rsid w:val="004358C6"/>
    <w:rsid w:val="00435A70"/>
    <w:rsid w:val="00440116"/>
    <w:rsid w:val="00440896"/>
    <w:rsid w:val="00440BB1"/>
    <w:rsid w:val="004416B5"/>
    <w:rsid w:val="004423E0"/>
    <w:rsid w:val="004424F1"/>
    <w:rsid w:val="004430AE"/>
    <w:rsid w:val="00443406"/>
    <w:rsid w:val="00443DCC"/>
    <w:rsid w:val="0044405A"/>
    <w:rsid w:val="00447F00"/>
    <w:rsid w:val="00450566"/>
    <w:rsid w:val="004517D2"/>
    <w:rsid w:val="00455A76"/>
    <w:rsid w:val="0046493A"/>
    <w:rsid w:val="004649E0"/>
    <w:rsid w:val="00464B38"/>
    <w:rsid w:val="00467501"/>
    <w:rsid w:val="00467C10"/>
    <w:rsid w:val="00467EA8"/>
    <w:rsid w:val="00470EEC"/>
    <w:rsid w:val="00471124"/>
    <w:rsid w:val="00473B5A"/>
    <w:rsid w:val="0047405B"/>
    <w:rsid w:val="004747DC"/>
    <w:rsid w:val="0047495B"/>
    <w:rsid w:val="00474A73"/>
    <w:rsid w:val="00475442"/>
    <w:rsid w:val="00475F56"/>
    <w:rsid w:val="00476D01"/>
    <w:rsid w:val="00477275"/>
    <w:rsid w:val="004811A1"/>
    <w:rsid w:val="00482A17"/>
    <w:rsid w:val="00482A24"/>
    <w:rsid w:val="00483223"/>
    <w:rsid w:val="00483B7C"/>
    <w:rsid w:val="00484D59"/>
    <w:rsid w:val="0048584C"/>
    <w:rsid w:val="00485C7E"/>
    <w:rsid w:val="00485FD8"/>
    <w:rsid w:val="004879DD"/>
    <w:rsid w:val="00490E6B"/>
    <w:rsid w:val="00490E8A"/>
    <w:rsid w:val="00491892"/>
    <w:rsid w:val="00491E54"/>
    <w:rsid w:val="004931D5"/>
    <w:rsid w:val="004951A3"/>
    <w:rsid w:val="00495B3F"/>
    <w:rsid w:val="00496B49"/>
    <w:rsid w:val="004972DA"/>
    <w:rsid w:val="004A157F"/>
    <w:rsid w:val="004A183E"/>
    <w:rsid w:val="004A4239"/>
    <w:rsid w:val="004A64C2"/>
    <w:rsid w:val="004B00F0"/>
    <w:rsid w:val="004B0F01"/>
    <w:rsid w:val="004B1442"/>
    <w:rsid w:val="004B3FE9"/>
    <w:rsid w:val="004B56E4"/>
    <w:rsid w:val="004B61E5"/>
    <w:rsid w:val="004B73D1"/>
    <w:rsid w:val="004B7B44"/>
    <w:rsid w:val="004C08A4"/>
    <w:rsid w:val="004C60FA"/>
    <w:rsid w:val="004D2D15"/>
    <w:rsid w:val="004D3C7B"/>
    <w:rsid w:val="004D3C96"/>
    <w:rsid w:val="004D3DB3"/>
    <w:rsid w:val="004D5C84"/>
    <w:rsid w:val="004D614B"/>
    <w:rsid w:val="004D639D"/>
    <w:rsid w:val="004D7E64"/>
    <w:rsid w:val="004E113D"/>
    <w:rsid w:val="004E2446"/>
    <w:rsid w:val="004E40FA"/>
    <w:rsid w:val="004E41B0"/>
    <w:rsid w:val="004E46EC"/>
    <w:rsid w:val="004E4B1A"/>
    <w:rsid w:val="004E5182"/>
    <w:rsid w:val="004E6331"/>
    <w:rsid w:val="004E653D"/>
    <w:rsid w:val="004E71BD"/>
    <w:rsid w:val="004F098D"/>
    <w:rsid w:val="004F0D89"/>
    <w:rsid w:val="004F137E"/>
    <w:rsid w:val="004F14FA"/>
    <w:rsid w:val="004F1E99"/>
    <w:rsid w:val="004F3C14"/>
    <w:rsid w:val="004F4F2D"/>
    <w:rsid w:val="004F568E"/>
    <w:rsid w:val="004F7373"/>
    <w:rsid w:val="004F7764"/>
    <w:rsid w:val="00503109"/>
    <w:rsid w:val="00504406"/>
    <w:rsid w:val="00504EFF"/>
    <w:rsid w:val="0050503D"/>
    <w:rsid w:val="00506D8A"/>
    <w:rsid w:val="0051016D"/>
    <w:rsid w:val="00512D52"/>
    <w:rsid w:val="00514B2B"/>
    <w:rsid w:val="00514EF6"/>
    <w:rsid w:val="005155CE"/>
    <w:rsid w:val="005214C5"/>
    <w:rsid w:val="005220DA"/>
    <w:rsid w:val="005234B0"/>
    <w:rsid w:val="00523F95"/>
    <w:rsid w:val="005241A6"/>
    <w:rsid w:val="0052494C"/>
    <w:rsid w:val="00525E49"/>
    <w:rsid w:val="00527372"/>
    <w:rsid w:val="0053147C"/>
    <w:rsid w:val="0053150B"/>
    <w:rsid w:val="00532B64"/>
    <w:rsid w:val="00533263"/>
    <w:rsid w:val="00533449"/>
    <w:rsid w:val="005368FF"/>
    <w:rsid w:val="005370E6"/>
    <w:rsid w:val="005372BA"/>
    <w:rsid w:val="00540582"/>
    <w:rsid w:val="00541678"/>
    <w:rsid w:val="00543F0C"/>
    <w:rsid w:val="005459AB"/>
    <w:rsid w:val="0055075C"/>
    <w:rsid w:val="00552BEA"/>
    <w:rsid w:val="00553623"/>
    <w:rsid w:val="00553674"/>
    <w:rsid w:val="005542F6"/>
    <w:rsid w:val="00555450"/>
    <w:rsid w:val="00555C6D"/>
    <w:rsid w:val="0055678A"/>
    <w:rsid w:val="00556874"/>
    <w:rsid w:val="00557642"/>
    <w:rsid w:val="005601E0"/>
    <w:rsid w:val="005604DD"/>
    <w:rsid w:val="005616E6"/>
    <w:rsid w:val="00562E87"/>
    <w:rsid w:val="0056459D"/>
    <w:rsid w:val="00565368"/>
    <w:rsid w:val="0057031B"/>
    <w:rsid w:val="00573530"/>
    <w:rsid w:val="005814C9"/>
    <w:rsid w:val="00581AD4"/>
    <w:rsid w:val="005828C2"/>
    <w:rsid w:val="00582BDC"/>
    <w:rsid w:val="00583B8D"/>
    <w:rsid w:val="005850CF"/>
    <w:rsid w:val="005909A6"/>
    <w:rsid w:val="00590C2F"/>
    <w:rsid w:val="00590EDF"/>
    <w:rsid w:val="00592245"/>
    <w:rsid w:val="00592D5D"/>
    <w:rsid w:val="005954BE"/>
    <w:rsid w:val="005A0C2B"/>
    <w:rsid w:val="005A2798"/>
    <w:rsid w:val="005A2F40"/>
    <w:rsid w:val="005A4A82"/>
    <w:rsid w:val="005A5071"/>
    <w:rsid w:val="005A53D6"/>
    <w:rsid w:val="005A7763"/>
    <w:rsid w:val="005A77E5"/>
    <w:rsid w:val="005B2635"/>
    <w:rsid w:val="005C0FC7"/>
    <w:rsid w:val="005C2084"/>
    <w:rsid w:val="005C210F"/>
    <w:rsid w:val="005C27DC"/>
    <w:rsid w:val="005C5DDA"/>
    <w:rsid w:val="005D0872"/>
    <w:rsid w:val="005D22D0"/>
    <w:rsid w:val="005D2DED"/>
    <w:rsid w:val="005D3A09"/>
    <w:rsid w:val="005D4D5F"/>
    <w:rsid w:val="005D60AE"/>
    <w:rsid w:val="005D6C34"/>
    <w:rsid w:val="005E1921"/>
    <w:rsid w:val="005E1958"/>
    <w:rsid w:val="005E2A5B"/>
    <w:rsid w:val="005E2F22"/>
    <w:rsid w:val="005E30DA"/>
    <w:rsid w:val="005E3A5C"/>
    <w:rsid w:val="005E4641"/>
    <w:rsid w:val="005E4B5A"/>
    <w:rsid w:val="005E5DB2"/>
    <w:rsid w:val="005E6518"/>
    <w:rsid w:val="005F033A"/>
    <w:rsid w:val="005F11A5"/>
    <w:rsid w:val="005F43BA"/>
    <w:rsid w:val="005F50C2"/>
    <w:rsid w:val="005F5ACE"/>
    <w:rsid w:val="005F5E2B"/>
    <w:rsid w:val="005F7B35"/>
    <w:rsid w:val="005F7BFA"/>
    <w:rsid w:val="006003E9"/>
    <w:rsid w:val="00600F64"/>
    <w:rsid w:val="00602497"/>
    <w:rsid w:val="00602E3C"/>
    <w:rsid w:val="00604276"/>
    <w:rsid w:val="00607A3B"/>
    <w:rsid w:val="006100A0"/>
    <w:rsid w:val="00610899"/>
    <w:rsid w:val="00612E7C"/>
    <w:rsid w:val="006143DF"/>
    <w:rsid w:val="0061596B"/>
    <w:rsid w:val="006172DA"/>
    <w:rsid w:val="00617848"/>
    <w:rsid w:val="00621F85"/>
    <w:rsid w:val="00622967"/>
    <w:rsid w:val="006239D8"/>
    <w:rsid w:val="00624071"/>
    <w:rsid w:val="0062773E"/>
    <w:rsid w:val="00627783"/>
    <w:rsid w:val="00630C52"/>
    <w:rsid w:val="00631F78"/>
    <w:rsid w:val="00633624"/>
    <w:rsid w:val="00635FF3"/>
    <w:rsid w:val="006374D0"/>
    <w:rsid w:val="00640CF9"/>
    <w:rsid w:val="00643FF5"/>
    <w:rsid w:val="0064587E"/>
    <w:rsid w:val="00646AF5"/>
    <w:rsid w:val="00646D04"/>
    <w:rsid w:val="006506DF"/>
    <w:rsid w:val="006509E8"/>
    <w:rsid w:val="00651BA0"/>
    <w:rsid w:val="006542BE"/>
    <w:rsid w:val="00656EC3"/>
    <w:rsid w:val="00663335"/>
    <w:rsid w:val="00666306"/>
    <w:rsid w:val="00666FBA"/>
    <w:rsid w:val="006673CE"/>
    <w:rsid w:val="00673074"/>
    <w:rsid w:val="0067406D"/>
    <w:rsid w:val="0067583E"/>
    <w:rsid w:val="0067585B"/>
    <w:rsid w:val="00682C65"/>
    <w:rsid w:val="00683EF0"/>
    <w:rsid w:val="00684138"/>
    <w:rsid w:val="006851FF"/>
    <w:rsid w:val="006860A2"/>
    <w:rsid w:val="006862E9"/>
    <w:rsid w:val="00686EEC"/>
    <w:rsid w:val="006874B9"/>
    <w:rsid w:val="00687BCC"/>
    <w:rsid w:val="0069009A"/>
    <w:rsid w:val="006940A1"/>
    <w:rsid w:val="00694213"/>
    <w:rsid w:val="00694F00"/>
    <w:rsid w:val="006957C6"/>
    <w:rsid w:val="006A1293"/>
    <w:rsid w:val="006A15AD"/>
    <w:rsid w:val="006A16C3"/>
    <w:rsid w:val="006A4D3E"/>
    <w:rsid w:val="006A5B6E"/>
    <w:rsid w:val="006A6E3D"/>
    <w:rsid w:val="006B0BBE"/>
    <w:rsid w:val="006B203C"/>
    <w:rsid w:val="006B4C5A"/>
    <w:rsid w:val="006C1A33"/>
    <w:rsid w:val="006C2BD8"/>
    <w:rsid w:val="006C30BB"/>
    <w:rsid w:val="006C3C02"/>
    <w:rsid w:val="006C4896"/>
    <w:rsid w:val="006C4A19"/>
    <w:rsid w:val="006C5542"/>
    <w:rsid w:val="006C68CF"/>
    <w:rsid w:val="006C7281"/>
    <w:rsid w:val="006C7500"/>
    <w:rsid w:val="006D30D3"/>
    <w:rsid w:val="006D338C"/>
    <w:rsid w:val="006D3EF9"/>
    <w:rsid w:val="006D4AD7"/>
    <w:rsid w:val="006D55FB"/>
    <w:rsid w:val="006D5A45"/>
    <w:rsid w:val="006E0F1E"/>
    <w:rsid w:val="006E5C1D"/>
    <w:rsid w:val="006E6748"/>
    <w:rsid w:val="006E6F14"/>
    <w:rsid w:val="006F0F76"/>
    <w:rsid w:val="006F1B40"/>
    <w:rsid w:val="006F2F37"/>
    <w:rsid w:val="006F3165"/>
    <w:rsid w:val="006F331E"/>
    <w:rsid w:val="006F3332"/>
    <w:rsid w:val="006F5D7D"/>
    <w:rsid w:val="00702097"/>
    <w:rsid w:val="00702508"/>
    <w:rsid w:val="007034D0"/>
    <w:rsid w:val="007035B6"/>
    <w:rsid w:val="00704B4D"/>
    <w:rsid w:val="00706FD0"/>
    <w:rsid w:val="00710C34"/>
    <w:rsid w:val="00710D67"/>
    <w:rsid w:val="007111C8"/>
    <w:rsid w:val="007115D3"/>
    <w:rsid w:val="00717888"/>
    <w:rsid w:val="007178F7"/>
    <w:rsid w:val="00721BCA"/>
    <w:rsid w:val="0072241E"/>
    <w:rsid w:val="00722FEF"/>
    <w:rsid w:val="007232D6"/>
    <w:rsid w:val="007277CE"/>
    <w:rsid w:val="00730AD9"/>
    <w:rsid w:val="00730D71"/>
    <w:rsid w:val="00731E77"/>
    <w:rsid w:val="00731F5B"/>
    <w:rsid w:val="00732DE7"/>
    <w:rsid w:val="00733626"/>
    <w:rsid w:val="00733CD8"/>
    <w:rsid w:val="00735DBF"/>
    <w:rsid w:val="00736A93"/>
    <w:rsid w:val="00736FC3"/>
    <w:rsid w:val="00737570"/>
    <w:rsid w:val="00737D76"/>
    <w:rsid w:val="00742F85"/>
    <w:rsid w:val="00746327"/>
    <w:rsid w:val="007477DA"/>
    <w:rsid w:val="00747A42"/>
    <w:rsid w:val="00751F2E"/>
    <w:rsid w:val="00752DBA"/>
    <w:rsid w:val="00754555"/>
    <w:rsid w:val="00761C8F"/>
    <w:rsid w:val="00763183"/>
    <w:rsid w:val="007635E8"/>
    <w:rsid w:val="00764E0C"/>
    <w:rsid w:val="00765B78"/>
    <w:rsid w:val="00766E0F"/>
    <w:rsid w:val="0077194B"/>
    <w:rsid w:val="00773037"/>
    <w:rsid w:val="0077379D"/>
    <w:rsid w:val="00776AE9"/>
    <w:rsid w:val="00777115"/>
    <w:rsid w:val="007775B3"/>
    <w:rsid w:val="00781B15"/>
    <w:rsid w:val="0078254E"/>
    <w:rsid w:val="00782DFC"/>
    <w:rsid w:val="00783073"/>
    <w:rsid w:val="007841C5"/>
    <w:rsid w:val="007849A9"/>
    <w:rsid w:val="007849E7"/>
    <w:rsid w:val="00784E7D"/>
    <w:rsid w:val="007859FD"/>
    <w:rsid w:val="00787703"/>
    <w:rsid w:val="00790E4D"/>
    <w:rsid w:val="00791675"/>
    <w:rsid w:val="00791B90"/>
    <w:rsid w:val="00791DC9"/>
    <w:rsid w:val="00792365"/>
    <w:rsid w:val="0079238D"/>
    <w:rsid w:val="007929CA"/>
    <w:rsid w:val="00794F6B"/>
    <w:rsid w:val="00796272"/>
    <w:rsid w:val="00796FBC"/>
    <w:rsid w:val="0079734D"/>
    <w:rsid w:val="007A01A0"/>
    <w:rsid w:val="007A0B60"/>
    <w:rsid w:val="007A0F89"/>
    <w:rsid w:val="007A11C7"/>
    <w:rsid w:val="007A24FC"/>
    <w:rsid w:val="007A2F3A"/>
    <w:rsid w:val="007A2FD7"/>
    <w:rsid w:val="007A3221"/>
    <w:rsid w:val="007A7921"/>
    <w:rsid w:val="007B19B5"/>
    <w:rsid w:val="007B3C49"/>
    <w:rsid w:val="007C0018"/>
    <w:rsid w:val="007C1C55"/>
    <w:rsid w:val="007C2463"/>
    <w:rsid w:val="007C25EC"/>
    <w:rsid w:val="007C3A19"/>
    <w:rsid w:val="007C3AEB"/>
    <w:rsid w:val="007C770F"/>
    <w:rsid w:val="007D1A37"/>
    <w:rsid w:val="007D1A63"/>
    <w:rsid w:val="007D1B32"/>
    <w:rsid w:val="007D325D"/>
    <w:rsid w:val="007D51E5"/>
    <w:rsid w:val="007D7838"/>
    <w:rsid w:val="007E0D8B"/>
    <w:rsid w:val="007E319C"/>
    <w:rsid w:val="007E322D"/>
    <w:rsid w:val="007E437D"/>
    <w:rsid w:val="007E473C"/>
    <w:rsid w:val="007E53A3"/>
    <w:rsid w:val="007E6152"/>
    <w:rsid w:val="007E62FC"/>
    <w:rsid w:val="007E7052"/>
    <w:rsid w:val="007E75DF"/>
    <w:rsid w:val="007F10F0"/>
    <w:rsid w:val="007F3471"/>
    <w:rsid w:val="007F525C"/>
    <w:rsid w:val="007F5531"/>
    <w:rsid w:val="007F574B"/>
    <w:rsid w:val="007F5DD9"/>
    <w:rsid w:val="007F684A"/>
    <w:rsid w:val="007F74B7"/>
    <w:rsid w:val="007F7547"/>
    <w:rsid w:val="008001E2"/>
    <w:rsid w:val="00802802"/>
    <w:rsid w:val="00804C7D"/>
    <w:rsid w:val="00804EDD"/>
    <w:rsid w:val="00810086"/>
    <w:rsid w:val="0081010E"/>
    <w:rsid w:val="008103E2"/>
    <w:rsid w:val="00810764"/>
    <w:rsid w:val="00812573"/>
    <w:rsid w:val="00812CB6"/>
    <w:rsid w:val="00813D8E"/>
    <w:rsid w:val="00813F9A"/>
    <w:rsid w:val="008157EA"/>
    <w:rsid w:val="00816983"/>
    <w:rsid w:val="00816BC0"/>
    <w:rsid w:val="00820037"/>
    <w:rsid w:val="00822DF2"/>
    <w:rsid w:val="00822E18"/>
    <w:rsid w:val="00822F2F"/>
    <w:rsid w:val="008241CD"/>
    <w:rsid w:val="00825CEC"/>
    <w:rsid w:val="00826053"/>
    <w:rsid w:val="00826414"/>
    <w:rsid w:val="00827A70"/>
    <w:rsid w:val="008334FE"/>
    <w:rsid w:val="0083432D"/>
    <w:rsid w:val="00834A0F"/>
    <w:rsid w:val="00836DA9"/>
    <w:rsid w:val="00840406"/>
    <w:rsid w:val="0084113E"/>
    <w:rsid w:val="0084157C"/>
    <w:rsid w:val="0084219A"/>
    <w:rsid w:val="00844FC7"/>
    <w:rsid w:val="008456C0"/>
    <w:rsid w:val="00846270"/>
    <w:rsid w:val="008513D4"/>
    <w:rsid w:val="008517B6"/>
    <w:rsid w:val="00851D9A"/>
    <w:rsid w:val="0085505C"/>
    <w:rsid w:val="008569B9"/>
    <w:rsid w:val="0085705F"/>
    <w:rsid w:val="00860D3B"/>
    <w:rsid w:val="00862875"/>
    <w:rsid w:val="0086325D"/>
    <w:rsid w:val="008642E2"/>
    <w:rsid w:val="008653DA"/>
    <w:rsid w:val="008661F2"/>
    <w:rsid w:val="00870AB3"/>
    <w:rsid w:val="00870B8E"/>
    <w:rsid w:val="00872B67"/>
    <w:rsid w:val="00874E98"/>
    <w:rsid w:val="00875998"/>
    <w:rsid w:val="00877FE9"/>
    <w:rsid w:val="00881E02"/>
    <w:rsid w:val="00882C83"/>
    <w:rsid w:val="00885D86"/>
    <w:rsid w:val="0088647A"/>
    <w:rsid w:val="00890902"/>
    <w:rsid w:val="00893517"/>
    <w:rsid w:val="00893FBD"/>
    <w:rsid w:val="0089533C"/>
    <w:rsid w:val="00895F06"/>
    <w:rsid w:val="008A0BB7"/>
    <w:rsid w:val="008A2742"/>
    <w:rsid w:val="008A5654"/>
    <w:rsid w:val="008B23F4"/>
    <w:rsid w:val="008B2513"/>
    <w:rsid w:val="008B28F6"/>
    <w:rsid w:val="008B4C0A"/>
    <w:rsid w:val="008B4CD2"/>
    <w:rsid w:val="008B5976"/>
    <w:rsid w:val="008B7807"/>
    <w:rsid w:val="008B7B49"/>
    <w:rsid w:val="008C102B"/>
    <w:rsid w:val="008C1B03"/>
    <w:rsid w:val="008C5EF0"/>
    <w:rsid w:val="008C7035"/>
    <w:rsid w:val="008C7784"/>
    <w:rsid w:val="008C77AE"/>
    <w:rsid w:val="008D007D"/>
    <w:rsid w:val="008D0BD2"/>
    <w:rsid w:val="008D0F39"/>
    <w:rsid w:val="008D1434"/>
    <w:rsid w:val="008D1ECF"/>
    <w:rsid w:val="008D1F84"/>
    <w:rsid w:val="008D3B06"/>
    <w:rsid w:val="008D6DFF"/>
    <w:rsid w:val="008D788B"/>
    <w:rsid w:val="008E08D7"/>
    <w:rsid w:val="008E17F1"/>
    <w:rsid w:val="008E256A"/>
    <w:rsid w:val="008E2B7E"/>
    <w:rsid w:val="008E34A1"/>
    <w:rsid w:val="008E3D47"/>
    <w:rsid w:val="008E4586"/>
    <w:rsid w:val="008E6C24"/>
    <w:rsid w:val="008E77AD"/>
    <w:rsid w:val="008F002D"/>
    <w:rsid w:val="008F023A"/>
    <w:rsid w:val="008F0F17"/>
    <w:rsid w:val="008F1D7B"/>
    <w:rsid w:val="008F3DC5"/>
    <w:rsid w:val="00905910"/>
    <w:rsid w:val="00907F6D"/>
    <w:rsid w:val="00910045"/>
    <w:rsid w:val="0091459A"/>
    <w:rsid w:val="009215A8"/>
    <w:rsid w:val="009219F9"/>
    <w:rsid w:val="00921E38"/>
    <w:rsid w:val="0092276A"/>
    <w:rsid w:val="00924C78"/>
    <w:rsid w:val="00924D41"/>
    <w:rsid w:val="009261A5"/>
    <w:rsid w:val="00931F41"/>
    <w:rsid w:val="009338DB"/>
    <w:rsid w:val="00941E1C"/>
    <w:rsid w:val="00941F0D"/>
    <w:rsid w:val="0094381A"/>
    <w:rsid w:val="00945066"/>
    <w:rsid w:val="00946DD3"/>
    <w:rsid w:val="00947C92"/>
    <w:rsid w:val="00947F62"/>
    <w:rsid w:val="00951568"/>
    <w:rsid w:val="0095176B"/>
    <w:rsid w:val="00951A1F"/>
    <w:rsid w:val="009520D4"/>
    <w:rsid w:val="0095421A"/>
    <w:rsid w:val="00954EE7"/>
    <w:rsid w:val="009551ED"/>
    <w:rsid w:val="00956A47"/>
    <w:rsid w:val="0095771E"/>
    <w:rsid w:val="009605AB"/>
    <w:rsid w:val="00960A14"/>
    <w:rsid w:val="00960FDB"/>
    <w:rsid w:val="0096216B"/>
    <w:rsid w:val="009675AE"/>
    <w:rsid w:val="0096793C"/>
    <w:rsid w:val="00970760"/>
    <w:rsid w:val="00971708"/>
    <w:rsid w:val="00971950"/>
    <w:rsid w:val="00971AC5"/>
    <w:rsid w:val="009731EB"/>
    <w:rsid w:val="009756C4"/>
    <w:rsid w:val="0098164E"/>
    <w:rsid w:val="00981DA7"/>
    <w:rsid w:val="0098274E"/>
    <w:rsid w:val="009856BF"/>
    <w:rsid w:val="009871AD"/>
    <w:rsid w:val="00987895"/>
    <w:rsid w:val="00990D59"/>
    <w:rsid w:val="00994304"/>
    <w:rsid w:val="0099760B"/>
    <w:rsid w:val="009A22FF"/>
    <w:rsid w:val="009A25DB"/>
    <w:rsid w:val="009A468A"/>
    <w:rsid w:val="009A4A78"/>
    <w:rsid w:val="009B4E43"/>
    <w:rsid w:val="009B53FF"/>
    <w:rsid w:val="009B7424"/>
    <w:rsid w:val="009B7D4F"/>
    <w:rsid w:val="009C1114"/>
    <w:rsid w:val="009C1154"/>
    <w:rsid w:val="009C21D9"/>
    <w:rsid w:val="009C3626"/>
    <w:rsid w:val="009C5119"/>
    <w:rsid w:val="009D1615"/>
    <w:rsid w:val="009D2061"/>
    <w:rsid w:val="009D2E64"/>
    <w:rsid w:val="009D4B63"/>
    <w:rsid w:val="009D4ED4"/>
    <w:rsid w:val="009D62F2"/>
    <w:rsid w:val="009E380C"/>
    <w:rsid w:val="009E604D"/>
    <w:rsid w:val="009E758C"/>
    <w:rsid w:val="009E7A07"/>
    <w:rsid w:val="009F0F03"/>
    <w:rsid w:val="009F1539"/>
    <w:rsid w:val="009F4E71"/>
    <w:rsid w:val="009F568D"/>
    <w:rsid w:val="009F7663"/>
    <w:rsid w:val="009F7B18"/>
    <w:rsid w:val="009F7E53"/>
    <w:rsid w:val="00A01625"/>
    <w:rsid w:val="00A02781"/>
    <w:rsid w:val="00A03AF6"/>
    <w:rsid w:val="00A04CBA"/>
    <w:rsid w:val="00A057C3"/>
    <w:rsid w:val="00A067AB"/>
    <w:rsid w:val="00A0730A"/>
    <w:rsid w:val="00A10102"/>
    <w:rsid w:val="00A102A5"/>
    <w:rsid w:val="00A12EBC"/>
    <w:rsid w:val="00A14DAF"/>
    <w:rsid w:val="00A15BF7"/>
    <w:rsid w:val="00A16DE9"/>
    <w:rsid w:val="00A20CCE"/>
    <w:rsid w:val="00A20E56"/>
    <w:rsid w:val="00A2348C"/>
    <w:rsid w:val="00A2355F"/>
    <w:rsid w:val="00A2436A"/>
    <w:rsid w:val="00A248D4"/>
    <w:rsid w:val="00A25534"/>
    <w:rsid w:val="00A26442"/>
    <w:rsid w:val="00A27446"/>
    <w:rsid w:val="00A315AD"/>
    <w:rsid w:val="00A33A99"/>
    <w:rsid w:val="00A35717"/>
    <w:rsid w:val="00A37039"/>
    <w:rsid w:val="00A374E6"/>
    <w:rsid w:val="00A37500"/>
    <w:rsid w:val="00A44A1F"/>
    <w:rsid w:val="00A45518"/>
    <w:rsid w:val="00A46D27"/>
    <w:rsid w:val="00A477FC"/>
    <w:rsid w:val="00A503E2"/>
    <w:rsid w:val="00A521C3"/>
    <w:rsid w:val="00A54FA8"/>
    <w:rsid w:val="00A556D9"/>
    <w:rsid w:val="00A5671B"/>
    <w:rsid w:val="00A56A91"/>
    <w:rsid w:val="00A5775E"/>
    <w:rsid w:val="00A610E8"/>
    <w:rsid w:val="00A63091"/>
    <w:rsid w:val="00A635F1"/>
    <w:rsid w:val="00A65001"/>
    <w:rsid w:val="00A66012"/>
    <w:rsid w:val="00A70DC1"/>
    <w:rsid w:val="00A72B59"/>
    <w:rsid w:val="00A742EC"/>
    <w:rsid w:val="00A754C2"/>
    <w:rsid w:val="00A77527"/>
    <w:rsid w:val="00A8007A"/>
    <w:rsid w:val="00A81363"/>
    <w:rsid w:val="00A83195"/>
    <w:rsid w:val="00A86247"/>
    <w:rsid w:val="00A86E81"/>
    <w:rsid w:val="00A87ABA"/>
    <w:rsid w:val="00A903D0"/>
    <w:rsid w:val="00A90BF8"/>
    <w:rsid w:val="00A91EEA"/>
    <w:rsid w:val="00A94F69"/>
    <w:rsid w:val="00A95CD1"/>
    <w:rsid w:val="00A972F4"/>
    <w:rsid w:val="00A977B5"/>
    <w:rsid w:val="00AA175D"/>
    <w:rsid w:val="00AA23DD"/>
    <w:rsid w:val="00AA64F4"/>
    <w:rsid w:val="00AB1BB6"/>
    <w:rsid w:val="00AB2BA0"/>
    <w:rsid w:val="00AB3845"/>
    <w:rsid w:val="00AB3A45"/>
    <w:rsid w:val="00AB3A61"/>
    <w:rsid w:val="00AB3FC9"/>
    <w:rsid w:val="00AB6024"/>
    <w:rsid w:val="00AB6814"/>
    <w:rsid w:val="00AB7E63"/>
    <w:rsid w:val="00AC0097"/>
    <w:rsid w:val="00AC0A6B"/>
    <w:rsid w:val="00AC305B"/>
    <w:rsid w:val="00AC3CC4"/>
    <w:rsid w:val="00AC6D0B"/>
    <w:rsid w:val="00AD1353"/>
    <w:rsid w:val="00AD1891"/>
    <w:rsid w:val="00AD4455"/>
    <w:rsid w:val="00AD487D"/>
    <w:rsid w:val="00AD4C17"/>
    <w:rsid w:val="00AD7620"/>
    <w:rsid w:val="00AE159C"/>
    <w:rsid w:val="00AE163B"/>
    <w:rsid w:val="00AE263E"/>
    <w:rsid w:val="00AE303E"/>
    <w:rsid w:val="00AE3118"/>
    <w:rsid w:val="00AE6DA8"/>
    <w:rsid w:val="00AF1274"/>
    <w:rsid w:val="00AF1391"/>
    <w:rsid w:val="00AF2928"/>
    <w:rsid w:val="00AF45CC"/>
    <w:rsid w:val="00AF544A"/>
    <w:rsid w:val="00AF5E0A"/>
    <w:rsid w:val="00AF676F"/>
    <w:rsid w:val="00AF7BED"/>
    <w:rsid w:val="00B023C2"/>
    <w:rsid w:val="00B03732"/>
    <w:rsid w:val="00B04B87"/>
    <w:rsid w:val="00B04FAA"/>
    <w:rsid w:val="00B06F0A"/>
    <w:rsid w:val="00B079AC"/>
    <w:rsid w:val="00B07DDF"/>
    <w:rsid w:val="00B10687"/>
    <w:rsid w:val="00B130D4"/>
    <w:rsid w:val="00B13696"/>
    <w:rsid w:val="00B147BB"/>
    <w:rsid w:val="00B20E89"/>
    <w:rsid w:val="00B21076"/>
    <w:rsid w:val="00B21F20"/>
    <w:rsid w:val="00B22987"/>
    <w:rsid w:val="00B234D5"/>
    <w:rsid w:val="00B2383F"/>
    <w:rsid w:val="00B244EE"/>
    <w:rsid w:val="00B24B3C"/>
    <w:rsid w:val="00B251F7"/>
    <w:rsid w:val="00B27834"/>
    <w:rsid w:val="00B30560"/>
    <w:rsid w:val="00B31B28"/>
    <w:rsid w:val="00B33BB4"/>
    <w:rsid w:val="00B34F7A"/>
    <w:rsid w:val="00B3781A"/>
    <w:rsid w:val="00B37909"/>
    <w:rsid w:val="00B4041E"/>
    <w:rsid w:val="00B408FC"/>
    <w:rsid w:val="00B4183B"/>
    <w:rsid w:val="00B42854"/>
    <w:rsid w:val="00B431F0"/>
    <w:rsid w:val="00B46282"/>
    <w:rsid w:val="00B477EE"/>
    <w:rsid w:val="00B4783B"/>
    <w:rsid w:val="00B51C1A"/>
    <w:rsid w:val="00B52A00"/>
    <w:rsid w:val="00B53197"/>
    <w:rsid w:val="00B5499A"/>
    <w:rsid w:val="00B57969"/>
    <w:rsid w:val="00B61846"/>
    <w:rsid w:val="00B62E5E"/>
    <w:rsid w:val="00B62FD3"/>
    <w:rsid w:val="00B66F61"/>
    <w:rsid w:val="00B67101"/>
    <w:rsid w:val="00B67DBF"/>
    <w:rsid w:val="00B67F39"/>
    <w:rsid w:val="00B70E19"/>
    <w:rsid w:val="00B70E79"/>
    <w:rsid w:val="00B70E7A"/>
    <w:rsid w:val="00B718EC"/>
    <w:rsid w:val="00B71FA9"/>
    <w:rsid w:val="00B72788"/>
    <w:rsid w:val="00B72A01"/>
    <w:rsid w:val="00B72AEF"/>
    <w:rsid w:val="00B7300D"/>
    <w:rsid w:val="00B73B02"/>
    <w:rsid w:val="00B74BA4"/>
    <w:rsid w:val="00B77600"/>
    <w:rsid w:val="00B818E1"/>
    <w:rsid w:val="00B83CB3"/>
    <w:rsid w:val="00B865B6"/>
    <w:rsid w:val="00B933C0"/>
    <w:rsid w:val="00B9542D"/>
    <w:rsid w:val="00BA0752"/>
    <w:rsid w:val="00BA1A78"/>
    <w:rsid w:val="00BA205A"/>
    <w:rsid w:val="00BA26DE"/>
    <w:rsid w:val="00BA6F97"/>
    <w:rsid w:val="00BA74FF"/>
    <w:rsid w:val="00BA7A25"/>
    <w:rsid w:val="00BB3FD2"/>
    <w:rsid w:val="00BB5ACC"/>
    <w:rsid w:val="00BC1CFD"/>
    <w:rsid w:val="00BC2C68"/>
    <w:rsid w:val="00BC5710"/>
    <w:rsid w:val="00BC5ABA"/>
    <w:rsid w:val="00BD00E7"/>
    <w:rsid w:val="00BD085D"/>
    <w:rsid w:val="00BD0CC0"/>
    <w:rsid w:val="00BD0D26"/>
    <w:rsid w:val="00BD17F2"/>
    <w:rsid w:val="00BD1927"/>
    <w:rsid w:val="00BD386E"/>
    <w:rsid w:val="00BD523D"/>
    <w:rsid w:val="00BD655F"/>
    <w:rsid w:val="00BD7992"/>
    <w:rsid w:val="00BD7D09"/>
    <w:rsid w:val="00BE0AD4"/>
    <w:rsid w:val="00BE27E3"/>
    <w:rsid w:val="00BE4FB9"/>
    <w:rsid w:val="00BE53B9"/>
    <w:rsid w:val="00BF17A5"/>
    <w:rsid w:val="00BF5699"/>
    <w:rsid w:val="00BF601B"/>
    <w:rsid w:val="00BF6A17"/>
    <w:rsid w:val="00C00A12"/>
    <w:rsid w:val="00C01088"/>
    <w:rsid w:val="00C037B5"/>
    <w:rsid w:val="00C043D4"/>
    <w:rsid w:val="00C1082B"/>
    <w:rsid w:val="00C11595"/>
    <w:rsid w:val="00C1247A"/>
    <w:rsid w:val="00C127AC"/>
    <w:rsid w:val="00C12B6A"/>
    <w:rsid w:val="00C14DC8"/>
    <w:rsid w:val="00C14E5A"/>
    <w:rsid w:val="00C16397"/>
    <w:rsid w:val="00C16FCF"/>
    <w:rsid w:val="00C17217"/>
    <w:rsid w:val="00C2014B"/>
    <w:rsid w:val="00C214E3"/>
    <w:rsid w:val="00C21EEC"/>
    <w:rsid w:val="00C2252C"/>
    <w:rsid w:val="00C22817"/>
    <w:rsid w:val="00C23B38"/>
    <w:rsid w:val="00C26547"/>
    <w:rsid w:val="00C277B9"/>
    <w:rsid w:val="00C31187"/>
    <w:rsid w:val="00C33524"/>
    <w:rsid w:val="00C35D9C"/>
    <w:rsid w:val="00C37CAF"/>
    <w:rsid w:val="00C40919"/>
    <w:rsid w:val="00C428AB"/>
    <w:rsid w:val="00C44338"/>
    <w:rsid w:val="00C444D2"/>
    <w:rsid w:val="00C4471B"/>
    <w:rsid w:val="00C44908"/>
    <w:rsid w:val="00C44C8A"/>
    <w:rsid w:val="00C457FA"/>
    <w:rsid w:val="00C471A5"/>
    <w:rsid w:val="00C515E6"/>
    <w:rsid w:val="00C51766"/>
    <w:rsid w:val="00C5206A"/>
    <w:rsid w:val="00C532DA"/>
    <w:rsid w:val="00C537E8"/>
    <w:rsid w:val="00C5411F"/>
    <w:rsid w:val="00C54D0F"/>
    <w:rsid w:val="00C57A03"/>
    <w:rsid w:val="00C60ADB"/>
    <w:rsid w:val="00C62B69"/>
    <w:rsid w:val="00C63BC8"/>
    <w:rsid w:val="00C6411D"/>
    <w:rsid w:val="00C6597B"/>
    <w:rsid w:val="00C673A6"/>
    <w:rsid w:val="00C71D8A"/>
    <w:rsid w:val="00C72034"/>
    <w:rsid w:val="00C73D5D"/>
    <w:rsid w:val="00C74844"/>
    <w:rsid w:val="00C75170"/>
    <w:rsid w:val="00C76229"/>
    <w:rsid w:val="00C76E6A"/>
    <w:rsid w:val="00C8380A"/>
    <w:rsid w:val="00C83B77"/>
    <w:rsid w:val="00C84EBF"/>
    <w:rsid w:val="00C86030"/>
    <w:rsid w:val="00C8676E"/>
    <w:rsid w:val="00C86F0D"/>
    <w:rsid w:val="00C87963"/>
    <w:rsid w:val="00C87A12"/>
    <w:rsid w:val="00C90CA1"/>
    <w:rsid w:val="00C92114"/>
    <w:rsid w:val="00C9561C"/>
    <w:rsid w:val="00C9657D"/>
    <w:rsid w:val="00C9796D"/>
    <w:rsid w:val="00CA10E4"/>
    <w:rsid w:val="00CA17C3"/>
    <w:rsid w:val="00CA1974"/>
    <w:rsid w:val="00CA1ADC"/>
    <w:rsid w:val="00CA4305"/>
    <w:rsid w:val="00CA71A4"/>
    <w:rsid w:val="00CA76F6"/>
    <w:rsid w:val="00CB07C8"/>
    <w:rsid w:val="00CB1079"/>
    <w:rsid w:val="00CB2FAC"/>
    <w:rsid w:val="00CB46ED"/>
    <w:rsid w:val="00CC0823"/>
    <w:rsid w:val="00CC0CE9"/>
    <w:rsid w:val="00CC241B"/>
    <w:rsid w:val="00CC30AF"/>
    <w:rsid w:val="00CC404F"/>
    <w:rsid w:val="00CD04FA"/>
    <w:rsid w:val="00CD3D1F"/>
    <w:rsid w:val="00CD510F"/>
    <w:rsid w:val="00CD6450"/>
    <w:rsid w:val="00CD6C09"/>
    <w:rsid w:val="00CD70A9"/>
    <w:rsid w:val="00CE0393"/>
    <w:rsid w:val="00CE0A8C"/>
    <w:rsid w:val="00CE1779"/>
    <w:rsid w:val="00CE4831"/>
    <w:rsid w:val="00CE5134"/>
    <w:rsid w:val="00CE7780"/>
    <w:rsid w:val="00CF2E13"/>
    <w:rsid w:val="00CF3B16"/>
    <w:rsid w:val="00CF417C"/>
    <w:rsid w:val="00CF4EF2"/>
    <w:rsid w:val="00CF5006"/>
    <w:rsid w:val="00CF50E5"/>
    <w:rsid w:val="00CF67E3"/>
    <w:rsid w:val="00CF6F39"/>
    <w:rsid w:val="00CF7502"/>
    <w:rsid w:val="00CF78C1"/>
    <w:rsid w:val="00D027BE"/>
    <w:rsid w:val="00D0590F"/>
    <w:rsid w:val="00D0691A"/>
    <w:rsid w:val="00D069C6"/>
    <w:rsid w:val="00D07148"/>
    <w:rsid w:val="00D10F15"/>
    <w:rsid w:val="00D11B0F"/>
    <w:rsid w:val="00D121E8"/>
    <w:rsid w:val="00D12B9C"/>
    <w:rsid w:val="00D12FCF"/>
    <w:rsid w:val="00D1569F"/>
    <w:rsid w:val="00D163CE"/>
    <w:rsid w:val="00D16645"/>
    <w:rsid w:val="00D16D3B"/>
    <w:rsid w:val="00D17C74"/>
    <w:rsid w:val="00D17F6B"/>
    <w:rsid w:val="00D20B8A"/>
    <w:rsid w:val="00D20CED"/>
    <w:rsid w:val="00D21B40"/>
    <w:rsid w:val="00D23475"/>
    <w:rsid w:val="00D23DEE"/>
    <w:rsid w:val="00D24B2A"/>
    <w:rsid w:val="00D261B7"/>
    <w:rsid w:val="00D26710"/>
    <w:rsid w:val="00D26E10"/>
    <w:rsid w:val="00D26FE6"/>
    <w:rsid w:val="00D301E2"/>
    <w:rsid w:val="00D346CE"/>
    <w:rsid w:val="00D3470D"/>
    <w:rsid w:val="00D34AC2"/>
    <w:rsid w:val="00D34E5C"/>
    <w:rsid w:val="00D3524D"/>
    <w:rsid w:val="00D35D55"/>
    <w:rsid w:val="00D40FA0"/>
    <w:rsid w:val="00D4374C"/>
    <w:rsid w:val="00D4563F"/>
    <w:rsid w:val="00D45793"/>
    <w:rsid w:val="00D45BF8"/>
    <w:rsid w:val="00D468D3"/>
    <w:rsid w:val="00D4794F"/>
    <w:rsid w:val="00D50104"/>
    <w:rsid w:val="00D502EE"/>
    <w:rsid w:val="00D50C29"/>
    <w:rsid w:val="00D51C84"/>
    <w:rsid w:val="00D52A12"/>
    <w:rsid w:val="00D57BBB"/>
    <w:rsid w:val="00D627A6"/>
    <w:rsid w:val="00D7021D"/>
    <w:rsid w:val="00D70988"/>
    <w:rsid w:val="00D7248B"/>
    <w:rsid w:val="00D734BF"/>
    <w:rsid w:val="00D7400A"/>
    <w:rsid w:val="00D76CDE"/>
    <w:rsid w:val="00D772EF"/>
    <w:rsid w:val="00D8118D"/>
    <w:rsid w:val="00D851B4"/>
    <w:rsid w:val="00D8554E"/>
    <w:rsid w:val="00D8580F"/>
    <w:rsid w:val="00D9366F"/>
    <w:rsid w:val="00D95237"/>
    <w:rsid w:val="00D96095"/>
    <w:rsid w:val="00D960E8"/>
    <w:rsid w:val="00D9698F"/>
    <w:rsid w:val="00DA1497"/>
    <w:rsid w:val="00DA1CE9"/>
    <w:rsid w:val="00DA4DA5"/>
    <w:rsid w:val="00DB3AE6"/>
    <w:rsid w:val="00DB3F05"/>
    <w:rsid w:val="00DB470B"/>
    <w:rsid w:val="00DB4C84"/>
    <w:rsid w:val="00DB5522"/>
    <w:rsid w:val="00DB6396"/>
    <w:rsid w:val="00DB714E"/>
    <w:rsid w:val="00DC332E"/>
    <w:rsid w:val="00DC41AA"/>
    <w:rsid w:val="00DC5F10"/>
    <w:rsid w:val="00DC6B52"/>
    <w:rsid w:val="00DD1F7A"/>
    <w:rsid w:val="00DD38C7"/>
    <w:rsid w:val="00DD50C0"/>
    <w:rsid w:val="00DE08E1"/>
    <w:rsid w:val="00DE0DC9"/>
    <w:rsid w:val="00DE2D56"/>
    <w:rsid w:val="00DE3764"/>
    <w:rsid w:val="00DE4A26"/>
    <w:rsid w:val="00DE4DE4"/>
    <w:rsid w:val="00DE6887"/>
    <w:rsid w:val="00DF3681"/>
    <w:rsid w:val="00DF5BCF"/>
    <w:rsid w:val="00E00217"/>
    <w:rsid w:val="00E01729"/>
    <w:rsid w:val="00E02AE5"/>
    <w:rsid w:val="00E03399"/>
    <w:rsid w:val="00E0652F"/>
    <w:rsid w:val="00E12BF7"/>
    <w:rsid w:val="00E14AC7"/>
    <w:rsid w:val="00E1524E"/>
    <w:rsid w:val="00E170FF"/>
    <w:rsid w:val="00E21850"/>
    <w:rsid w:val="00E21E5D"/>
    <w:rsid w:val="00E242E5"/>
    <w:rsid w:val="00E253B3"/>
    <w:rsid w:val="00E3101B"/>
    <w:rsid w:val="00E35847"/>
    <w:rsid w:val="00E36369"/>
    <w:rsid w:val="00E366C1"/>
    <w:rsid w:val="00E36DF0"/>
    <w:rsid w:val="00E37366"/>
    <w:rsid w:val="00E40021"/>
    <w:rsid w:val="00E4228E"/>
    <w:rsid w:val="00E43884"/>
    <w:rsid w:val="00E4715F"/>
    <w:rsid w:val="00E5188D"/>
    <w:rsid w:val="00E523A5"/>
    <w:rsid w:val="00E5405C"/>
    <w:rsid w:val="00E559D0"/>
    <w:rsid w:val="00E55AEF"/>
    <w:rsid w:val="00E60A6C"/>
    <w:rsid w:val="00E638E8"/>
    <w:rsid w:val="00E65CB8"/>
    <w:rsid w:val="00E668B1"/>
    <w:rsid w:val="00E66954"/>
    <w:rsid w:val="00E6781A"/>
    <w:rsid w:val="00E72388"/>
    <w:rsid w:val="00E728F2"/>
    <w:rsid w:val="00E7295E"/>
    <w:rsid w:val="00E804EC"/>
    <w:rsid w:val="00E81B55"/>
    <w:rsid w:val="00E83591"/>
    <w:rsid w:val="00E90536"/>
    <w:rsid w:val="00E940DC"/>
    <w:rsid w:val="00E96222"/>
    <w:rsid w:val="00E969BD"/>
    <w:rsid w:val="00EA0380"/>
    <w:rsid w:val="00EA111F"/>
    <w:rsid w:val="00EA1481"/>
    <w:rsid w:val="00EA5C63"/>
    <w:rsid w:val="00EA690D"/>
    <w:rsid w:val="00EA7D8D"/>
    <w:rsid w:val="00EB1CFD"/>
    <w:rsid w:val="00EC0816"/>
    <w:rsid w:val="00EC0FBC"/>
    <w:rsid w:val="00EC127B"/>
    <w:rsid w:val="00EC30FE"/>
    <w:rsid w:val="00EC3119"/>
    <w:rsid w:val="00EC61CB"/>
    <w:rsid w:val="00ED05AF"/>
    <w:rsid w:val="00ED0DF6"/>
    <w:rsid w:val="00ED2F4F"/>
    <w:rsid w:val="00ED433B"/>
    <w:rsid w:val="00ED4A94"/>
    <w:rsid w:val="00ED53E8"/>
    <w:rsid w:val="00ED7A29"/>
    <w:rsid w:val="00EE09F1"/>
    <w:rsid w:val="00EE1313"/>
    <w:rsid w:val="00EE2902"/>
    <w:rsid w:val="00EE37EF"/>
    <w:rsid w:val="00EE5246"/>
    <w:rsid w:val="00EE7D03"/>
    <w:rsid w:val="00EF331A"/>
    <w:rsid w:val="00EF3C7A"/>
    <w:rsid w:val="00EF4628"/>
    <w:rsid w:val="00EF52C6"/>
    <w:rsid w:val="00EF5371"/>
    <w:rsid w:val="00EF5407"/>
    <w:rsid w:val="00EF581B"/>
    <w:rsid w:val="00EF5889"/>
    <w:rsid w:val="00EF6365"/>
    <w:rsid w:val="00EF66D8"/>
    <w:rsid w:val="00EF697F"/>
    <w:rsid w:val="00EF6DC7"/>
    <w:rsid w:val="00F00387"/>
    <w:rsid w:val="00F0145F"/>
    <w:rsid w:val="00F02CB1"/>
    <w:rsid w:val="00F05390"/>
    <w:rsid w:val="00F0629C"/>
    <w:rsid w:val="00F06BE9"/>
    <w:rsid w:val="00F070A6"/>
    <w:rsid w:val="00F073DF"/>
    <w:rsid w:val="00F0754E"/>
    <w:rsid w:val="00F1321B"/>
    <w:rsid w:val="00F133D3"/>
    <w:rsid w:val="00F14112"/>
    <w:rsid w:val="00F22659"/>
    <w:rsid w:val="00F23712"/>
    <w:rsid w:val="00F24EBE"/>
    <w:rsid w:val="00F25AE3"/>
    <w:rsid w:val="00F2666C"/>
    <w:rsid w:val="00F27960"/>
    <w:rsid w:val="00F279A9"/>
    <w:rsid w:val="00F3110B"/>
    <w:rsid w:val="00F333BC"/>
    <w:rsid w:val="00F33BEA"/>
    <w:rsid w:val="00F35F55"/>
    <w:rsid w:val="00F37E64"/>
    <w:rsid w:val="00F40ED5"/>
    <w:rsid w:val="00F435BF"/>
    <w:rsid w:val="00F457CE"/>
    <w:rsid w:val="00F46ED2"/>
    <w:rsid w:val="00F47623"/>
    <w:rsid w:val="00F476C7"/>
    <w:rsid w:val="00F539EC"/>
    <w:rsid w:val="00F54CBA"/>
    <w:rsid w:val="00F55B68"/>
    <w:rsid w:val="00F55D2D"/>
    <w:rsid w:val="00F565C3"/>
    <w:rsid w:val="00F57E7F"/>
    <w:rsid w:val="00F61547"/>
    <w:rsid w:val="00F6166C"/>
    <w:rsid w:val="00F62266"/>
    <w:rsid w:val="00F63483"/>
    <w:rsid w:val="00F65ABC"/>
    <w:rsid w:val="00F66357"/>
    <w:rsid w:val="00F705A0"/>
    <w:rsid w:val="00F71244"/>
    <w:rsid w:val="00F72407"/>
    <w:rsid w:val="00F72B1A"/>
    <w:rsid w:val="00F73DC7"/>
    <w:rsid w:val="00F7463F"/>
    <w:rsid w:val="00F74A55"/>
    <w:rsid w:val="00F75AFB"/>
    <w:rsid w:val="00F75FAC"/>
    <w:rsid w:val="00F77FCE"/>
    <w:rsid w:val="00F820C2"/>
    <w:rsid w:val="00F82C3F"/>
    <w:rsid w:val="00F8336B"/>
    <w:rsid w:val="00F85223"/>
    <w:rsid w:val="00F863CE"/>
    <w:rsid w:val="00F90CC4"/>
    <w:rsid w:val="00F91D39"/>
    <w:rsid w:val="00F936E0"/>
    <w:rsid w:val="00F94CF6"/>
    <w:rsid w:val="00F96FF1"/>
    <w:rsid w:val="00F973B4"/>
    <w:rsid w:val="00FA090D"/>
    <w:rsid w:val="00FA0B29"/>
    <w:rsid w:val="00FA1144"/>
    <w:rsid w:val="00FA11A9"/>
    <w:rsid w:val="00FA3E24"/>
    <w:rsid w:val="00FA49FF"/>
    <w:rsid w:val="00FA4D33"/>
    <w:rsid w:val="00FA5B9A"/>
    <w:rsid w:val="00FA63DC"/>
    <w:rsid w:val="00FB2F4C"/>
    <w:rsid w:val="00FB3D0C"/>
    <w:rsid w:val="00FB3D0F"/>
    <w:rsid w:val="00FB5734"/>
    <w:rsid w:val="00FB6C1E"/>
    <w:rsid w:val="00FB6DD3"/>
    <w:rsid w:val="00FC664E"/>
    <w:rsid w:val="00FC6A55"/>
    <w:rsid w:val="00FC7B13"/>
    <w:rsid w:val="00FD1873"/>
    <w:rsid w:val="00FD68D1"/>
    <w:rsid w:val="00FD722F"/>
    <w:rsid w:val="00FD73EF"/>
    <w:rsid w:val="00FE1FDF"/>
    <w:rsid w:val="00FE311D"/>
    <w:rsid w:val="00FE4E02"/>
    <w:rsid w:val="00FE60DC"/>
    <w:rsid w:val="00FE640D"/>
    <w:rsid w:val="00FE6A1D"/>
    <w:rsid w:val="00FF0125"/>
    <w:rsid w:val="00FF036F"/>
    <w:rsid w:val="00FF09D2"/>
    <w:rsid w:val="00FF4610"/>
    <w:rsid w:val="00FF570A"/>
    <w:rsid w:val="00FF6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0D"/>
    <w:pPr>
      <w:ind w:left="720"/>
      <w:contextualSpacing/>
    </w:pPr>
  </w:style>
  <w:style w:type="paragraph" w:styleId="FootnoteText">
    <w:name w:val="footnote text"/>
    <w:basedOn w:val="Normal"/>
    <w:link w:val="FootnoteTextChar"/>
    <w:uiPriority w:val="99"/>
    <w:semiHidden/>
    <w:unhideWhenUsed/>
    <w:rsid w:val="006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6C3"/>
    <w:rPr>
      <w:sz w:val="20"/>
      <w:szCs w:val="20"/>
    </w:rPr>
  </w:style>
  <w:style w:type="character" w:styleId="FootnoteReference">
    <w:name w:val="footnote reference"/>
    <w:basedOn w:val="DefaultParagraphFont"/>
    <w:uiPriority w:val="99"/>
    <w:semiHidden/>
    <w:unhideWhenUsed/>
    <w:rsid w:val="006A16C3"/>
    <w:rPr>
      <w:vertAlign w:val="superscript"/>
    </w:rPr>
  </w:style>
  <w:style w:type="paragraph" w:styleId="BalloonText">
    <w:name w:val="Balloon Text"/>
    <w:basedOn w:val="Normal"/>
    <w:link w:val="BalloonTextChar"/>
    <w:uiPriority w:val="99"/>
    <w:semiHidden/>
    <w:unhideWhenUsed/>
    <w:rsid w:val="0087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67"/>
    <w:rPr>
      <w:rFonts w:ascii="Tahoma" w:hAnsi="Tahoma" w:cs="Tahoma"/>
      <w:sz w:val="16"/>
      <w:szCs w:val="16"/>
    </w:rPr>
  </w:style>
  <w:style w:type="paragraph" w:customStyle="1" w:styleId="Default">
    <w:name w:val="Default"/>
    <w:rsid w:val="00326622"/>
    <w:pPr>
      <w:autoSpaceDE w:val="0"/>
      <w:autoSpaceDN w:val="0"/>
      <w:adjustRightInd w:val="0"/>
      <w:spacing w:after="0" w:line="240" w:lineRule="auto"/>
    </w:pPr>
    <w:rPr>
      <w:rFonts w:ascii="Calibri" w:hAnsi="Calibri" w:cs="Calibri"/>
      <w:color w:val="000000"/>
      <w:sz w:val="24"/>
      <w:szCs w:val="24"/>
    </w:rPr>
  </w:style>
  <w:style w:type="paragraph" w:customStyle="1" w:styleId="body-paragraph2">
    <w:name w:val="body-paragraph2"/>
    <w:basedOn w:val="Normal"/>
    <w:rsid w:val="00326622"/>
    <w:pPr>
      <w:spacing w:before="100" w:beforeAutospacing="1" w:after="100" w:afterAutospacing="1" w:line="240" w:lineRule="auto"/>
      <w:ind w:left="2220"/>
    </w:pPr>
    <w:rPr>
      <w:rFonts w:ascii="Times New Roman" w:eastAsia="Times New Roman" w:hAnsi="Times New Roman" w:cs="Times New Roman"/>
      <w:sz w:val="24"/>
      <w:szCs w:val="24"/>
    </w:rPr>
  </w:style>
  <w:style w:type="table" w:styleId="TableGrid">
    <w:name w:val="Table Grid"/>
    <w:basedOn w:val="TableNormal"/>
    <w:uiPriority w:val="59"/>
    <w:rsid w:val="000D0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C3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0D"/>
    <w:pPr>
      <w:ind w:left="720"/>
      <w:contextualSpacing/>
    </w:pPr>
  </w:style>
  <w:style w:type="paragraph" w:styleId="FootnoteText">
    <w:name w:val="footnote text"/>
    <w:basedOn w:val="Normal"/>
    <w:link w:val="FootnoteTextChar"/>
    <w:uiPriority w:val="99"/>
    <w:semiHidden/>
    <w:unhideWhenUsed/>
    <w:rsid w:val="006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6C3"/>
    <w:rPr>
      <w:sz w:val="20"/>
      <w:szCs w:val="20"/>
    </w:rPr>
  </w:style>
  <w:style w:type="character" w:styleId="FootnoteReference">
    <w:name w:val="footnote reference"/>
    <w:basedOn w:val="DefaultParagraphFont"/>
    <w:uiPriority w:val="99"/>
    <w:semiHidden/>
    <w:unhideWhenUsed/>
    <w:rsid w:val="006A16C3"/>
    <w:rPr>
      <w:vertAlign w:val="superscript"/>
    </w:rPr>
  </w:style>
  <w:style w:type="paragraph" w:styleId="BalloonText">
    <w:name w:val="Balloon Text"/>
    <w:basedOn w:val="Normal"/>
    <w:link w:val="BalloonTextChar"/>
    <w:uiPriority w:val="99"/>
    <w:semiHidden/>
    <w:unhideWhenUsed/>
    <w:rsid w:val="0087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67"/>
    <w:rPr>
      <w:rFonts w:ascii="Tahoma" w:hAnsi="Tahoma" w:cs="Tahoma"/>
      <w:sz w:val="16"/>
      <w:szCs w:val="16"/>
    </w:rPr>
  </w:style>
  <w:style w:type="paragraph" w:customStyle="1" w:styleId="Default">
    <w:name w:val="Default"/>
    <w:rsid w:val="00326622"/>
    <w:pPr>
      <w:autoSpaceDE w:val="0"/>
      <w:autoSpaceDN w:val="0"/>
      <w:adjustRightInd w:val="0"/>
      <w:spacing w:after="0" w:line="240" w:lineRule="auto"/>
    </w:pPr>
    <w:rPr>
      <w:rFonts w:ascii="Calibri" w:hAnsi="Calibri" w:cs="Calibri"/>
      <w:color w:val="000000"/>
      <w:sz w:val="24"/>
      <w:szCs w:val="24"/>
    </w:rPr>
  </w:style>
  <w:style w:type="paragraph" w:customStyle="1" w:styleId="body-paragraph2">
    <w:name w:val="body-paragraph2"/>
    <w:basedOn w:val="Normal"/>
    <w:rsid w:val="00326622"/>
    <w:pPr>
      <w:spacing w:before="100" w:beforeAutospacing="1" w:after="100" w:afterAutospacing="1" w:line="240" w:lineRule="auto"/>
      <w:ind w:left="2220"/>
    </w:pPr>
    <w:rPr>
      <w:rFonts w:ascii="Times New Roman" w:eastAsia="Times New Roman" w:hAnsi="Times New Roman" w:cs="Times New Roman"/>
      <w:sz w:val="24"/>
      <w:szCs w:val="24"/>
    </w:rPr>
  </w:style>
  <w:style w:type="table" w:styleId="TableGrid">
    <w:name w:val="Table Grid"/>
    <w:basedOn w:val="TableNormal"/>
    <w:uiPriority w:val="59"/>
    <w:rsid w:val="000D0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C3C02"/>
  </w:style>
</w:styles>
</file>

<file path=word/webSettings.xml><?xml version="1.0" encoding="utf-8"?>
<w:webSettings xmlns:r="http://schemas.openxmlformats.org/officeDocument/2006/relationships" xmlns:w="http://schemas.openxmlformats.org/wordprocessingml/2006/main">
  <w:divs>
    <w:div w:id="222452441">
      <w:bodyDiv w:val="1"/>
      <w:marLeft w:val="0"/>
      <w:marRight w:val="0"/>
      <w:marTop w:val="0"/>
      <w:marBottom w:val="0"/>
      <w:divBdr>
        <w:top w:val="none" w:sz="0" w:space="0" w:color="auto"/>
        <w:left w:val="none" w:sz="0" w:space="0" w:color="auto"/>
        <w:bottom w:val="none" w:sz="0" w:space="0" w:color="auto"/>
        <w:right w:val="none" w:sz="0" w:space="0" w:color="auto"/>
      </w:divBdr>
      <w:divsChild>
        <w:div w:id="12537355">
          <w:marLeft w:val="0"/>
          <w:marRight w:val="0"/>
          <w:marTop w:val="0"/>
          <w:marBottom w:val="0"/>
          <w:divBdr>
            <w:top w:val="none" w:sz="0" w:space="0" w:color="auto"/>
            <w:left w:val="none" w:sz="0" w:space="0" w:color="auto"/>
            <w:bottom w:val="none" w:sz="0" w:space="0" w:color="auto"/>
            <w:right w:val="none" w:sz="0" w:space="0" w:color="auto"/>
          </w:divBdr>
          <w:divsChild>
            <w:div w:id="253830633">
              <w:marLeft w:val="0"/>
              <w:marRight w:val="0"/>
              <w:marTop w:val="0"/>
              <w:marBottom w:val="0"/>
              <w:divBdr>
                <w:top w:val="none" w:sz="0" w:space="0" w:color="auto"/>
                <w:left w:val="none" w:sz="0" w:space="0" w:color="auto"/>
                <w:bottom w:val="none" w:sz="0" w:space="0" w:color="auto"/>
                <w:right w:val="none" w:sz="0" w:space="0" w:color="auto"/>
              </w:divBdr>
              <w:divsChild>
                <w:div w:id="2011713699">
                  <w:marLeft w:val="0"/>
                  <w:marRight w:val="0"/>
                  <w:marTop w:val="0"/>
                  <w:marBottom w:val="0"/>
                  <w:divBdr>
                    <w:top w:val="single" w:sz="48" w:space="0" w:color="FFFFFF"/>
                    <w:left w:val="none" w:sz="0" w:space="0" w:color="auto"/>
                    <w:bottom w:val="none" w:sz="0" w:space="0" w:color="auto"/>
                    <w:right w:val="none" w:sz="0" w:space="0" w:color="auto"/>
                  </w:divBdr>
                  <w:divsChild>
                    <w:div w:id="568535970">
                      <w:marLeft w:val="0"/>
                      <w:marRight w:val="0"/>
                      <w:marTop w:val="0"/>
                      <w:marBottom w:val="0"/>
                      <w:divBdr>
                        <w:top w:val="none" w:sz="0" w:space="0" w:color="auto"/>
                        <w:left w:val="none" w:sz="0" w:space="0" w:color="auto"/>
                        <w:bottom w:val="none" w:sz="0" w:space="0" w:color="auto"/>
                        <w:right w:val="none" w:sz="0" w:space="0" w:color="auto"/>
                      </w:divBdr>
                      <w:divsChild>
                        <w:div w:id="1458143088">
                          <w:marLeft w:val="120"/>
                          <w:marRight w:val="0"/>
                          <w:marTop w:val="0"/>
                          <w:marBottom w:val="0"/>
                          <w:divBdr>
                            <w:top w:val="none" w:sz="0" w:space="0" w:color="auto"/>
                            <w:left w:val="none" w:sz="0" w:space="0" w:color="auto"/>
                            <w:bottom w:val="none" w:sz="0" w:space="0" w:color="auto"/>
                            <w:right w:val="none" w:sz="0" w:space="0" w:color="auto"/>
                          </w:divBdr>
                          <w:divsChild>
                            <w:div w:id="510342073">
                              <w:marLeft w:val="0"/>
                              <w:marRight w:val="0"/>
                              <w:marTop w:val="0"/>
                              <w:marBottom w:val="0"/>
                              <w:divBdr>
                                <w:top w:val="none" w:sz="0" w:space="0" w:color="auto"/>
                                <w:left w:val="none" w:sz="0" w:space="0" w:color="auto"/>
                                <w:bottom w:val="none" w:sz="0" w:space="0" w:color="auto"/>
                                <w:right w:val="none" w:sz="0" w:space="0" w:color="auto"/>
                              </w:divBdr>
                              <w:divsChild>
                                <w:div w:id="1972397431">
                                  <w:marLeft w:val="0"/>
                                  <w:marRight w:val="0"/>
                                  <w:marTop w:val="0"/>
                                  <w:marBottom w:val="0"/>
                                  <w:divBdr>
                                    <w:top w:val="none" w:sz="0" w:space="0" w:color="auto"/>
                                    <w:left w:val="none" w:sz="0" w:space="0" w:color="auto"/>
                                    <w:bottom w:val="none" w:sz="0" w:space="0" w:color="auto"/>
                                    <w:right w:val="none" w:sz="0" w:space="0" w:color="auto"/>
                                  </w:divBdr>
                                  <w:divsChild>
                                    <w:div w:id="6488157">
                                      <w:marLeft w:val="-225"/>
                                      <w:marRight w:val="-195"/>
                                      <w:marTop w:val="0"/>
                                      <w:marBottom w:val="75"/>
                                      <w:divBdr>
                                        <w:top w:val="none" w:sz="0" w:space="0" w:color="auto"/>
                                        <w:left w:val="none" w:sz="0" w:space="0" w:color="auto"/>
                                        <w:bottom w:val="none" w:sz="0" w:space="0" w:color="auto"/>
                                        <w:right w:val="none" w:sz="0" w:space="0" w:color="auto"/>
                                      </w:divBdr>
                                      <w:divsChild>
                                        <w:div w:id="50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140253">
      <w:bodyDiv w:val="1"/>
      <w:marLeft w:val="0"/>
      <w:marRight w:val="0"/>
      <w:marTop w:val="0"/>
      <w:marBottom w:val="0"/>
      <w:divBdr>
        <w:top w:val="none" w:sz="0" w:space="0" w:color="auto"/>
        <w:left w:val="none" w:sz="0" w:space="0" w:color="auto"/>
        <w:bottom w:val="none" w:sz="0" w:space="0" w:color="auto"/>
        <w:right w:val="none" w:sz="0" w:space="0" w:color="auto"/>
      </w:divBdr>
      <w:divsChild>
        <w:div w:id="1627732960">
          <w:marLeft w:val="720"/>
          <w:marRight w:val="0"/>
          <w:marTop w:val="115"/>
          <w:marBottom w:val="0"/>
          <w:divBdr>
            <w:top w:val="none" w:sz="0" w:space="0" w:color="auto"/>
            <w:left w:val="none" w:sz="0" w:space="0" w:color="auto"/>
            <w:bottom w:val="none" w:sz="0" w:space="0" w:color="auto"/>
            <w:right w:val="none" w:sz="0" w:space="0" w:color="auto"/>
          </w:divBdr>
        </w:div>
        <w:div w:id="2000691372">
          <w:marLeft w:val="720"/>
          <w:marRight w:val="0"/>
          <w:marTop w:val="115"/>
          <w:marBottom w:val="0"/>
          <w:divBdr>
            <w:top w:val="none" w:sz="0" w:space="0" w:color="auto"/>
            <w:left w:val="none" w:sz="0" w:space="0" w:color="auto"/>
            <w:bottom w:val="none" w:sz="0" w:space="0" w:color="auto"/>
            <w:right w:val="none" w:sz="0" w:space="0" w:color="auto"/>
          </w:divBdr>
        </w:div>
        <w:div w:id="82529036">
          <w:marLeft w:val="720"/>
          <w:marRight w:val="0"/>
          <w:marTop w:val="115"/>
          <w:marBottom w:val="0"/>
          <w:divBdr>
            <w:top w:val="none" w:sz="0" w:space="0" w:color="auto"/>
            <w:left w:val="none" w:sz="0" w:space="0" w:color="auto"/>
            <w:bottom w:val="none" w:sz="0" w:space="0" w:color="auto"/>
            <w:right w:val="none" w:sz="0" w:space="0" w:color="auto"/>
          </w:divBdr>
        </w:div>
      </w:divsChild>
    </w:div>
    <w:div w:id="1009869673">
      <w:bodyDiv w:val="1"/>
      <w:marLeft w:val="0"/>
      <w:marRight w:val="0"/>
      <w:marTop w:val="0"/>
      <w:marBottom w:val="0"/>
      <w:divBdr>
        <w:top w:val="none" w:sz="0" w:space="0" w:color="auto"/>
        <w:left w:val="none" w:sz="0" w:space="0" w:color="auto"/>
        <w:bottom w:val="none" w:sz="0" w:space="0" w:color="auto"/>
        <w:right w:val="none" w:sz="0" w:space="0" w:color="auto"/>
      </w:divBdr>
      <w:divsChild>
        <w:div w:id="801532830">
          <w:marLeft w:val="0"/>
          <w:marRight w:val="0"/>
          <w:marTop w:val="0"/>
          <w:marBottom w:val="0"/>
          <w:divBdr>
            <w:top w:val="none" w:sz="0" w:space="0" w:color="auto"/>
            <w:left w:val="none" w:sz="0" w:space="0" w:color="auto"/>
            <w:bottom w:val="none" w:sz="0" w:space="0" w:color="auto"/>
            <w:right w:val="none" w:sz="0" w:space="0" w:color="auto"/>
          </w:divBdr>
          <w:divsChild>
            <w:div w:id="267857946">
              <w:marLeft w:val="0"/>
              <w:marRight w:val="0"/>
              <w:marTop w:val="0"/>
              <w:marBottom w:val="0"/>
              <w:divBdr>
                <w:top w:val="none" w:sz="0" w:space="0" w:color="auto"/>
                <w:left w:val="none" w:sz="0" w:space="0" w:color="auto"/>
                <w:bottom w:val="none" w:sz="0" w:space="0" w:color="auto"/>
                <w:right w:val="none" w:sz="0" w:space="0" w:color="auto"/>
              </w:divBdr>
            </w:div>
            <w:div w:id="358237644">
              <w:marLeft w:val="0"/>
              <w:marRight w:val="0"/>
              <w:marTop w:val="0"/>
              <w:marBottom w:val="0"/>
              <w:divBdr>
                <w:top w:val="none" w:sz="0" w:space="0" w:color="auto"/>
                <w:left w:val="none" w:sz="0" w:space="0" w:color="auto"/>
                <w:bottom w:val="none" w:sz="0" w:space="0" w:color="auto"/>
                <w:right w:val="none" w:sz="0" w:space="0" w:color="auto"/>
              </w:divBdr>
              <w:divsChild>
                <w:div w:id="17797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b347991\Documents\AGI\afghanistan\recruitment\FYEI%20applicant%20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b347991\Documents\AGI\afghanistan\recruitment\FYEI%20applicant%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FYEI</a:t>
            </a:r>
            <a:r>
              <a:rPr lang="en-US" sz="1000" baseline="0"/>
              <a:t> Applicants by District </a:t>
            </a:r>
          </a:p>
          <a:p>
            <a:pPr>
              <a:defRPr sz="1000"/>
            </a:pPr>
            <a:r>
              <a:rPr lang="en-US" sz="1000" baseline="0"/>
              <a:t>(2822 total)</a:t>
            </a:r>
            <a:endParaRPr lang="en-US" sz="1000"/>
          </a:p>
        </c:rich>
      </c:tx>
      <c:layout>
        <c:manualLayout>
          <c:xMode val="edge"/>
          <c:yMode val="edge"/>
          <c:x val="0.23408768527095877"/>
          <c:y val="4.7218171802598789E-2"/>
        </c:manualLayout>
      </c:layout>
    </c:title>
    <c:plotArea>
      <c:layout>
        <c:manualLayout>
          <c:layoutTarget val="inner"/>
          <c:xMode val="edge"/>
          <c:yMode val="edge"/>
          <c:x val="0.13071062992125979"/>
          <c:y val="0.31968759113444184"/>
          <c:w val="0.86928937007874041"/>
          <c:h val="0.32238487144645761"/>
        </c:manualLayout>
      </c:layout>
      <c:barChart>
        <c:barDir val="col"/>
        <c:grouping val="clustered"/>
        <c:ser>
          <c:idx val="0"/>
          <c:order val="0"/>
          <c:dLbls>
            <c:showVal val="1"/>
          </c:dLbls>
          <c:cat>
            <c:strRef>
              <c:f>applicantstats!$A$19:$A$23</c:f>
              <c:strCache>
                <c:ptCount val="5"/>
                <c:pt idx="0">
                  <c:v>Balkh</c:v>
                </c:pt>
                <c:pt idx="1">
                  <c:v>Dehdadi</c:v>
                </c:pt>
                <c:pt idx="2">
                  <c:v>Khulm</c:v>
                </c:pt>
                <c:pt idx="3">
                  <c:v>Mazar-e-Sharif</c:v>
                </c:pt>
                <c:pt idx="4">
                  <c:v>Sholgara</c:v>
                </c:pt>
              </c:strCache>
            </c:strRef>
          </c:cat>
          <c:val>
            <c:numRef>
              <c:f>applicantstats!$B$19:$B$23</c:f>
              <c:numCache>
                <c:formatCode>General</c:formatCode>
                <c:ptCount val="5"/>
                <c:pt idx="0">
                  <c:v>224</c:v>
                </c:pt>
                <c:pt idx="1">
                  <c:v>470</c:v>
                </c:pt>
                <c:pt idx="2">
                  <c:v>267</c:v>
                </c:pt>
                <c:pt idx="3">
                  <c:v>1684</c:v>
                </c:pt>
                <c:pt idx="4">
                  <c:v>177</c:v>
                </c:pt>
              </c:numCache>
            </c:numRef>
          </c:val>
        </c:ser>
        <c:axId val="134706688"/>
        <c:axId val="134708224"/>
      </c:barChart>
      <c:catAx>
        <c:axId val="134706688"/>
        <c:scaling>
          <c:orientation val="minMax"/>
        </c:scaling>
        <c:axPos val="b"/>
        <c:majorTickMark val="none"/>
        <c:tickLblPos val="nextTo"/>
        <c:txPr>
          <a:bodyPr/>
          <a:lstStyle/>
          <a:p>
            <a:pPr>
              <a:defRPr sz="800"/>
            </a:pPr>
            <a:endParaRPr lang="en-US"/>
          </a:p>
        </c:txPr>
        <c:crossAx val="134708224"/>
        <c:crosses val="autoZero"/>
        <c:auto val="1"/>
        <c:lblAlgn val="ctr"/>
        <c:lblOffset val="100"/>
      </c:catAx>
      <c:valAx>
        <c:axId val="134708224"/>
        <c:scaling>
          <c:orientation val="minMax"/>
        </c:scaling>
        <c:axPos val="l"/>
        <c:numFmt formatCode="General" sourceLinked="1"/>
        <c:majorTickMark val="none"/>
        <c:tickLblPos val="nextTo"/>
        <c:crossAx val="1347066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1"/>
            </a:pPr>
            <a:r>
              <a:rPr lang="en-US" sz="1000" b="1"/>
              <a:t>Age</a:t>
            </a:r>
            <a:r>
              <a:rPr lang="en-US" sz="1000" b="1" baseline="0"/>
              <a:t> of FYEI Applicants </a:t>
            </a:r>
          </a:p>
          <a:p>
            <a:pPr>
              <a:defRPr sz="1000" b="1"/>
            </a:pPr>
            <a:r>
              <a:rPr lang="en-US" sz="1000" b="1" baseline="0"/>
              <a:t>(2822 total)</a:t>
            </a:r>
            <a:endParaRPr lang="en-US" sz="1000" b="1"/>
          </a:p>
        </c:rich>
      </c:tx>
    </c:title>
    <c:plotArea>
      <c:layout/>
      <c:barChart>
        <c:barDir val="col"/>
        <c:grouping val="clustered"/>
        <c:ser>
          <c:idx val="1"/>
          <c:order val="0"/>
          <c:tx>
            <c:strRef>
              <c:f>applicantstats!$B$1</c:f>
              <c:strCache>
                <c:ptCount val="1"/>
                <c:pt idx="0">
                  <c:v>No.</c:v>
                </c:pt>
              </c:strCache>
            </c:strRef>
          </c:tx>
          <c:dLbls>
            <c:showVal val="1"/>
          </c:dLbls>
          <c:cat>
            <c:numRef>
              <c:f>applicantstats!$A$2:$A$15</c:f>
              <c:numCache>
                <c:formatCode>General</c:formatCode>
                <c:ptCount val="14"/>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numCache>
            </c:numRef>
          </c:cat>
          <c:val>
            <c:numRef>
              <c:f>applicantstats!$B$2:$B$15</c:f>
              <c:numCache>
                <c:formatCode>General</c:formatCode>
                <c:ptCount val="14"/>
                <c:pt idx="0">
                  <c:v>103</c:v>
                </c:pt>
                <c:pt idx="1">
                  <c:v>565</c:v>
                </c:pt>
                <c:pt idx="2">
                  <c:v>655</c:v>
                </c:pt>
                <c:pt idx="3">
                  <c:v>574</c:v>
                </c:pt>
                <c:pt idx="4">
                  <c:v>365</c:v>
                </c:pt>
                <c:pt idx="5">
                  <c:v>250</c:v>
                </c:pt>
                <c:pt idx="6">
                  <c:v>114</c:v>
                </c:pt>
                <c:pt idx="7">
                  <c:v>58</c:v>
                </c:pt>
                <c:pt idx="8">
                  <c:v>57</c:v>
                </c:pt>
                <c:pt idx="9">
                  <c:v>32</c:v>
                </c:pt>
                <c:pt idx="10">
                  <c:v>11</c:v>
                </c:pt>
                <c:pt idx="11">
                  <c:v>14</c:v>
                </c:pt>
                <c:pt idx="12">
                  <c:v>4</c:v>
                </c:pt>
                <c:pt idx="13">
                  <c:v>20</c:v>
                </c:pt>
              </c:numCache>
            </c:numRef>
          </c:val>
        </c:ser>
        <c:gapWidth val="75"/>
        <c:overlap val="-25"/>
        <c:axId val="134735360"/>
        <c:axId val="134736896"/>
      </c:barChart>
      <c:catAx>
        <c:axId val="134735360"/>
        <c:scaling>
          <c:orientation val="minMax"/>
        </c:scaling>
        <c:axPos val="b"/>
        <c:numFmt formatCode="General" sourceLinked="1"/>
        <c:majorTickMark val="none"/>
        <c:tickLblPos val="nextTo"/>
        <c:crossAx val="134736896"/>
        <c:crosses val="autoZero"/>
        <c:auto val="1"/>
        <c:lblAlgn val="ctr"/>
        <c:lblOffset val="100"/>
      </c:catAx>
      <c:valAx>
        <c:axId val="134736896"/>
        <c:scaling>
          <c:orientation val="minMax"/>
        </c:scaling>
        <c:axPos val="l"/>
        <c:numFmt formatCode="General" sourceLinked="1"/>
        <c:majorTickMark val="none"/>
        <c:tickLblPos val="nextTo"/>
        <c:spPr>
          <a:ln w="9525">
            <a:noFill/>
          </a:ln>
        </c:spPr>
        <c:crossAx val="134735360"/>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ACF1-994B-468E-B1EC-C20A887B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 Chakravarty</dc:creator>
  <cp:lastModifiedBy>Dina</cp:lastModifiedBy>
  <cp:revision>3</cp:revision>
  <dcterms:created xsi:type="dcterms:W3CDTF">2013-10-22T16:27:00Z</dcterms:created>
  <dcterms:modified xsi:type="dcterms:W3CDTF">2015-01-20T17:53:00Z</dcterms:modified>
</cp:coreProperties>
</file>